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3EA45" w14:textId="49AAA48F" w:rsidR="0098332C" w:rsidRDefault="00606107">
      <w:pPr>
        <w:pStyle w:val="BodyText"/>
        <w:rPr>
          <w:rFonts w:ascii="Times New Roman"/>
          <w:sz w:val="20"/>
        </w:rPr>
      </w:pPr>
      <w:r w:rsidRPr="00FE4382">
        <w:rPr>
          <w:noProof/>
          <w:color w:val="00255B"/>
          <w:sz w:val="18"/>
          <w:lang w:bidi="ar-SA"/>
        </w:rPr>
        <w:drawing>
          <wp:anchor distT="0" distB="0" distL="114300" distR="114300" simplePos="0" relativeHeight="251670528" behindDoc="0" locked="0" layoutInCell="1" allowOverlap="1" wp14:anchorId="434AAFE4" wp14:editId="7BF35EFC">
            <wp:simplePos x="0" y="0"/>
            <wp:positionH relativeFrom="column">
              <wp:posOffset>5005070</wp:posOffset>
            </wp:positionH>
            <wp:positionV relativeFrom="paragraph">
              <wp:posOffset>578</wp:posOffset>
            </wp:positionV>
            <wp:extent cx="1343198" cy="1789308"/>
            <wp:effectExtent l="0" t="0" r="0" b="1905"/>
            <wp:wrapSquare wrapText="bothSides"/>
            <wp:docPr id="11" name="Picture 3" descr="The Smith Fami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3198" cy="1789308"/>
                    </a:xfrm>
                    <a:prstGeom prst="rect">
                      <a:avLst/>
                    </a:prstGeom>
                  </pic:spPr>
                </pic:pic>
              </a:graphicData>
            </a:graphic>
            <wp14:sizeRelH relativeFrom="page">
              <wp14:pctWidth>0</wp14:pctWidth>
            </wp14:sizeRelH>
            <wp14:sizeRelV relativeFrom="page">
              <wp14:pctHeight>0</wp14:pctHeight>
            </wp14:sizeRelV>
          </wp:anchor>
        </w:drawing>
      </w:r>
    </w:p>
    <w:p w14:paraId="169C92ED" w14:textId="11618701" w:rsidR="0098332C" w:rsidRDefault="0098332C">
      <w:pPr>
        <w:pStyle w:val="BodyText"/>
        <w:rPr>
          <w:rFonts w:ascii="Times New Roman"/>
          <w:sz w:val="20"/>
        </w:rPr>
      </w:pPr>
    </w:p>
    <w:p w14:paraId="0FBD5B47" w14:textId="132653DB" w:rsidR="0098332C" w:rsidRDefault="0098332C" w:rsidP="00BA469C">
      <w:pPr>
        <w:pStyle w:val="BodyText"/>
        <w:rPr>
          <w:rFonts w:ascii="Times New Roman"/>
          <w:sz w:val="20"/>
        </w:rPr>
      </w:pPr>
    </w:p>
    <w:p w14:paraId="5D3AD22A" w14:textId="77777777" w:rsidR="00606107" w:rsidRDefault="00606107" w:rsidP="0004351A">
      <w:pPr>
        <w:spacing w:before="80"/>
        <w:ind w:left="284" w:right="2310"/>
        <w:rPr>
          <w:rFonts w:ascii="Arial Narrow" w:hAnsi="Arial Narrow"/>
          <w:color w:val="002060"/>
          <w:sz w:val="56"/>
          <w:szCs w:val="56"/>
        </w:rPr>
      </w:pPr>
    </w:p>
    <w:p w14:paraId="7B0416BC" w14:textId="77777777" w:rsidR="00606107" w:rsidRDefault="00606107" w:rsidP="0004351A">
      <w:pPr>
        <w:spacing w:before="80"/>
        <w:ind w:left="284" w:right="2310"/>
        <w:rPr>
          <w:rFonts w:ascii="Arial Narrow" w:hAnsi="Arial Narrow"/>
          <w:color w:val="002060"/>
          <w:sz w:val="56"/>
          <w:szCs w:val="56"/>
        </w:rPr>
      </w:pPr>
    </w:p>
    <w:p w14:paraId="2A75F1F2" w14:textId="77777777" w:rsidR="00606107" w:rsidRDefault="00606107" w:rsidP="0004351A">
      <w:pPr>
        <w:spacing w:before="80"/>
        <w:ind w:left="284" w:right="2310"/>
        <w:rPr>
          <w:rFonts w:ascii="Arial Narrow" w:hAnsi="Arial Narrow"/>
          <w:color w:val="002060"/>
          <w:sz w:val="56"/>
          <w:szCs w:val="56"/>
        </w:rPr>
      </w:pPr>
    </w:p>
    <w:p w14:paraId="60AA33D6" w14:textId="77777777" w:rsidR="00606107" w:rsidRDefault="00606107" w:rsidP="0004351A">
      <w:pPr>
        <w:spacing w:before="80"/>
        <w:ind w:left="284" w:right="2310"/>
        <w:rPr>
          <w:rFonts w:ascii="Arial Narrow" w:hAnsi="Arial Narrow"/>
          <w:color w:val="002060"/>
          <w:sz w:val="56"/>
          <w:szCs w:val="56"/>
        </w:rPr>
      </w:pPr>
    </w:p>
    <w:p w14:paraId="0A625522" w14:textId="77777777" w:rsidR="00606107" w:rsidRDefault="00606107" w:rsidP="0004351A">
      <w:pPr>
        <w:spacing w:before="80"/>
        <w:ind w:left="284" w:right="2310"/>
        <w:rPr>
          <w:rFonts w:ascii="Arial Narrow" w:hAnsi="Arial Narrow"/>
          <w:color w:val="002060"/>
          <w:sz w:val="56"/>
          <w:szCs w:val="56"/>
        </w:rPr>
      </w:pPr>
    </w:p>
    <w:p w14:paraId="5737761A" w14:textId="37852828" w:rsidR="0098332C" w:rsidRPr="0004351A" w:rsidRDefault="0004351A" w:rsidP="0004351A">
      <w:pPr>
        <w:spacing w:before="80"/>
        <w:ind w:left="284" w:right="2310"/>
        <w:rPr>
          <w:rFonts w:ascii="Times New Roman"/>
          <w:sz w:val="56"/>
          <w:szCs w:val="56"/>
        </w:rPr>
      </w:pPr>
      <w:r w:rsidRPr="0004351A">
        <w:rPr>
          <w:rFonts w:ascii="Arial Narrow" w:hAnsi="Arial Narrow"/>
          <w:color w:val="002060"/>
          <w:sz w:val="56"/>
          <w:szCs w:val="56"/>
        </w:rPr>
        <w:t>Small Steps, Big Futures Report</w:t>
      </w:r>
    </w:p>
    <w:p w14:paraId="2AE75CB1" w14:textId="09E6F2C7" w:rsidR="0004351A" w:rsidRDefault="0004351A" w:rsidP="0016047A">
      <w:pPr>
        <w:spacing w:before="80"/>
        <w:ind w:left="284" w:right="2310"/>
        <w:rPr>
          <w:rFonts w:ascii="Arial Narrow" w:hAnsi="Arial Narrow"/>
          <w:color w:val="002060"/>
          <w:sz w:val="56"/>
          <w:szCs w:val="56"/>
        </w:rPr>
      </w:pPr>
    </w:p>
    <w:p w14:paraId="753E3C8A" w14:textId="27D17E4F" w:rsidR="0016047A" w:rsidRPr="0004351A" w:rsidRDefault="00C357FA" w:rsidP="0016047A">
      <w:pPr>
        <w:spacing w:before="80"/>
        <w:ind w:left="284" w:right="2310"/>
        <w:rPr>
          <w:rFonts w:ascii="Arial Narrow" w:hAnsi="Arial Narrow"/>
          <w:color w:val="002060"/>
          <w:sz w:val="48"/>
          <w:szCs w:val="48"/>
        </w:rPr>
      </w:pPr>
      <w:r w:rsidRPr="0004351A">
        <w:rPr>
          <w:rFonts w:ascii="Arial Narrow" w:hAnsi="Arial Narrow"/>
          <w:color w:val="002060"/>
          <w:sz w:val="48"/>
          <w:szCs w:val="48"/>
        </w:rPr>
        <w:t>Appendix 2</w:t>
      </w:r>
      <w:r w:rsidR="0016047A" w:rsidRPr="0004351A">
        <w:rPr>
          <w:rFonts w:ascii="Arial Narrow" w:hAnsi="Arial Narrow"/>
          <w:color w:val="002060"/>
          <w:sz w:val="48"/>
          <w:szCs w:val="48"/>
        </w:rPr>
        <w:t xml:space="preserve"> </w:t>
      </w:r>
    </w:p>
    <w:p w14:paraId="6A8B77A0" w14:textId="408B25AC" w:rsidR="0098332C" w:rsidRDefault="00C357FA" w:rsidP="00BA469C">
      <w:pPr>
        <w:spacing w:before="80"/>
        <w:ind w:left="284" w:right="2310"/>
        <w:rPr>
          <w:rFonts w:ascii="Arial Narrow" w:hAnsi="Arial Narrow"/>
          <w:color w:val="002060"/>
          <w:sz w:val="48"/>
          <w:szCs w:val="48"/>
        </w:rPr>
      </w:pPr>
      <w:r w:rsidRPr="0004351A">
        <w:rPr>
          <w:rFonts w:ascii="Arial Narrow" w:hAnsi="Arial Narrow"/>
          <w:color w:val="002060"/>
          <w:sz w:val="48"/>
          <w:szCs w:val="48"/>
        </w:rPr>
        <w:t>Preschool Participation</w:t>
      </w:r>
      <w:r w:rsidR="0016047A" w:rsidRPr="0004351A">
        <w:rPr>
          <w:rFonts w:ascii="Arial Narrow" w:hAnsi="Arial Narrow"/>
          <w:color w:val="002060"/>
          <w:sz w:val="48"/>
          <w:szCs w:val="48"/>
        </w:rPr>
        <w:t xml:space="preserve"> Report</w:t>
      </w:r>
      <w:r w:rsidRPr="0004351A">
        <w:rPr>
          <w:rFonts w:ascii="Arial Narrow" w:hAnsi="Arial Narrow"/>
          <w:color w:val="002060"/>
          <w:sz w:val="48"/>
          <w:szCs w:val="48"/>
        </w:rPr>
        <w:t xml:space="preserve"> 2019</w:t>
      </w:r>
    </w:p>
    <w:p w14:paraId="353118BE" w14:textId="2CC16AD3" w:rsidR="00606107" w:rsidRDefault="00606107" w:rsidP="00BA469C">
      <w:pPr>
        <w:spacing w:before="80"/>
        <w:ind w:left="284" w:right="2310"/>
        <w:rPr>
          <w:rFonts w:ascii="Arial Narrow" w:hAnsi="Arial Narrow"/>
          <w:color w:val="002060"/>
          <w:sz w:val="48"/>
          <w:szCs w:val="48"/>
        </w:rPr>
      </w:pPr>
    </w:p>
    <w:p w14:paraId="132BE4D7" w14:textId="2C1E081E" w:rsidR="00606107" w:rsidRPr="00BA469C" w:rsidRDefault="00606107" w:rsidP="00BA469C">
      <w:pPr>
        <w:spacing w:before="80"/>
        <w:ind w:left="284" w:right="2310"/>
        <w:rPr>
          <w:rFonts w:ascii="Arial Narrow" w:hAnsi="Arial Narrow"/>
          <w:color w:val="002060"/>
          <w:sz w:val="48"/>
          <w:szCs w:val="48"/>
        </w:rPr>
      </w:pPr>
      <w:r>
        <w:rPr>
          <w:rFonts w:ascii="Arial Narrow" w:hAnsi="Arial Narrow"/>
          <w:color w:val="002060"/>
          <w:sz w:val="48"/>
          <w:szCs w:val="48"/>
        </w:rPr>
        <w:t xml:space="preserve">Accessible Word Version </w:t>
      </w:r>
    </w:p>
    <w:p w14:paraId="03791929" w14:textId="29A0D058" w:rsidR="0098332C" w:rsidRDefault="0098332C">
      <w:pPr>
        <w:pStyle w:val="BodyText"/>
        <w:rPr>
          <w:sz w:val="20"/>
        </w:rPr>
      </w:pPr>
    </w:p>
    <w:p w14:paraId="33015189" w14:textId="09BA430B" w:rsidR="0098332C" w:rsidRDefault="00006D75">
      <w:pPr>
        <w:rPr>
          <w:sz w:val="15"/>
        </w:rPr>
        <w:sectPr w:rsidR="0098332C">
          <w:type w:val="continuous"/>
          <w:pgSz w:w="11910" w:h="16840"/>
          <w:pgMar w:top="1580" w:right="1220" w:bottom="280" w:left="1180" w:header="720" w:footer="720" w:gutter="0"/>
          <w:cols w:space="720"/>
        </w:sectPr>
      </w:pPr>
      <w:r>
        <w:rPr>
          <w:sz w:val="20"/>
        </w:rPr>
        <w:tab/>
      </w:r>
    </w:p>
    <w:p w14:paraId="1DA13239" w14:textId="6B19E6CB" w:rsidR="0098332C" w:rsidRDefault="0098332C">
      <w:pPr>
        <w:spacing w:line="278" w:lineRule="auto"/>
        <w:rPr>
          <w:sz w:val="18"/>
        </w:rPr>
        <w:sectPr w:rsidR="0098332C">
          <w:type w:val="continuous"/>
          <w:pgSz w:w="11910" w:h="16840"/>
          <w:pgMar w:top="1580" w:right="1220" w:bottom="280" w:left="1180" w:header="720" w:footer="720" w:gutter="0"/>
          <w:cols w:num="2" w:space="720" w:equalWidth="0">
            <w:col w:w="3200" w:space="40"/>
            <w:col w:w="6270"/>
          </w:cols>
        </w:sectPr>
      </w:pPr>
    </w:p>
    <w:p w14:paraId="4DFE069D" w14:textId="77777777" w:rsidR="006F613E" w:rsidRDefault="006F613E" w:rsidP="006F613E">
      <w:pPr>
        <w:pStyle w:val="Heading3"/>
        <w:rPr>
          <w:color w:val="001F5F"/>
        </w:rPr>
      </w:pPr>
    </w:p>
    <w:p w14:paraId="6ADF0973" w14:textId="77777777" w:rsidR="00BD38AC" w:rsidRDefault="00BD38AC" w:rsidP="006F613E">
      <w:pPr>
        <w:pStyle w:val="Heading3"/>
        <w:rPr>
          <w:color w:val="001F5F"/>
        </w:rPr>
      </w:pPr>
    </w:p>
    <w:p w14:paraId="4E5D3BB2" w14:textId="51A8BB3C" w:rsidR="006F613E" w:rsidRPr="00F43CF0" w:rsidRDefault="006F613E" w:rsidP="006F613E">
      <w:pPr>
        <w:pStyle w:val="Heading3"/>
        <w:rPr>
          <w:color w:val="001F5F"/>
        </w:rPr>
      </w:pPr>
      <w:bookmarkStart w:id="0" w:name="_Toc75168385"/>
      <w:r w:rsidRPr="00F43CF0">
        <w:rPr>
          <w:color w:val="001F5F"/>
        </w:rPr>
        <w:t>Acknowledgment of Country</w:t>
      </w:r>
      <w:bookmarkEnd w:id="0"/>
      <w:r w:rsidRPr="00F43CF0">
        <w:rPr>
          <w:color w:val="001F5F"/>
        </w:rPr>
        <w:t xml:space="preserve"> </w:t>
      </w:r>
    </w:p>
    <w:p w14:paraId="3997AB37" w14:textId="663ACF71" w:rsidR="006F613E" w:rsidRDefault="006F613E" w:rsidP="006F613E">
      <w:r>
        <w:t>The Smith Family pays respect to the Traditional Owners and Custodians of Country in the communities in which we work throughout Australia and their connection to their lands, waters and communities. We pay respect to Aboriginal and Torres Strait Islander peoples and cultures, and to Elders, both past and present. We acknowledge Aboriginal and Torres Strait Islander peoples as Australia’s First Peoples and Custodians of the Land. We acknowledge that the land on which our workplaces are located are the lands of the Traditional Owners and Custodians of Country.</w:t>
      </w:r>
    </w:p>
    <w:p w14:paraId="0A902238" w14:textId="77777777" w:rsidR="006F613E" w:rsidRDefault="006F613E" w:rsidP="006F613E"/>
    <w:p w14:paraId="48EE3CA5" w14:textId="77777777" w:rsidR="005D0759" w:rsidRDefault="005D0759" w:rsidP="006F613E">
      <w:pPr>
        <w:pStyle w:val="Heading3"/>
        <w:rPr>
          <w:color w:val="001F5F"/>
        </w:rPr>
      </w:pPr>
    </w:p>
    <w:p w14:paraId="567D6B86" w14:textId="11DFBF07" w:rsidR="006F613E" w:rsidRPr="00F43CF0" w:rsidRDefault="006F613E" w:rsidP="006F613E">
      <w:pPr>
        <w:pStyle w:val="Heading3"/>
        <w:rPr>
          <w:color w:val="001F5F"/>
        </w:rPr>
      </w:pPr>
      <w:bookmarkStart w:id="1" w:name="_Toc75168386"/>
      <w:r w:rsidRPr="00F43CF0">
        <w:rPr>
          <w:color w:val="001F5F"/>
        </w:rPr>
        <w:t>Information on this report</w:t>
      </w:r>
      <w:bookmarkEnd w:id="1"/>
    </w:p>
    <w:p w14:paraId="2DEC4B56" w14:textId="64B52C06" w:rsidR="00160C8A" w:rsidRDefault="0068773B" w:rsidP="00160C8A">
      <w:r>
        <w:t xml:space="preserve">The </w:t>
      </w:r>
      <w:r w:rsidRPr="0068773B">
        <w:rPr>
          <w:i/>
        </w:rPr>
        <w:t>Preschool Participation Report</w:t>
      </w:r>
      <w:r>
        <w:t xml:space="preserve"> forms part of the </w:t>
      </w:r>
      <w:r w:rsidRPr="0068773B">
        <w:rPr>
          <w:i/>
        </w:rPr>
        <w:t>Project Interim Report</w:t>
      </w:r>
      <w:r>
        <w:t xml:space="preserve"> that was submitted to the Department of Education, Skills and Employment </w:t>
      </w:r>
      <w:r w:rsidR="00160C8A">
        <w:t xml:space="preserve">(DESE) </w:t>
      </w:r>
      <w:r>
        <w:t xml:space="preserve">in December 2019 </w:t>
      </w:r>
      <w:r w:rsidR="00160C8A">
        <w:t xml:space="preserve">by </w:t>
      </w:r>
      <w:r>
        <w:t xml:space="preserve">The Smith Family. It was originally called the </w:t>
      </w:r>
      <w:r w:rsidRPr="0068773B">
        <w:rPr>
          <w:i/>
        </w:rPr>
        <w:t>National Research Report</w:t>
      </w:r>
      <w:r>
        <w:t xml:space="preserve">. </w:t>
      </w:r>
    </w:p>
    <w:p w14:paraId="1AD4A9AA" w14:textId="77777777" w:rsidR="00160C8A" w:rsidRDefault="00160C8A" w:rsidP="00160C8A"/>
    <w:p w14:paraId="18D71AD0" w14:textId="4EDF4682" w:rsidR="00160C8A" w:rsidRDefault="0068773B" w:rsidP="00160C8A">
      <w:r>
        <w:t>It has been</w:t>
      </w:r>
      <w:r w:rsidR="00160C8A">
        <w:t xml:space="preserve"> renamed as the </w:t>
      </w:r>
      <w:r w:rsidR="00160C8A" w:rsidRPr="00160C8A">
        <w:rPr>
          <w:i/>
        </w:rPr>
        <w:t xml:space="preserve">Preschool Participation Report 2019 </w:t>
      </w:r>
      <w:r w:rsidR="00160C8A">
        <w:t>and is</w:t>
      </w:r>
      <w:r>
        <w:t xml:space="preserve"> </w:t>
      </w:r>
      <w:r w:rsidR="00160C8A">
        <w:t xml:space="preserve">included as an appendix in the </w:t>
      </w:r>
      <w:r w:rsidRPr="00160C8A">
        <w:rPr>
          <w:i/>
        </w:rPr>
        <w:t>Small Steps, Big Futures Report</w:t>
      </w:r>
      <w:r>
        <w:t xml:space="preserve"> as it has been the foundation of this qualitative repor</w:t>
      </w:r>
      <w:r w:rsidR="00160C8A">
        <w:t xml:space="preserve">t. The </w:t>
      </w:r>
      <w:r w:rsidR="00160C8A" w:rsidRPr="00160C8A">
        <w:rPr>
          <w:i/>
        </w:rPr>
        <w:t>Small Steps, Big Futures Report</w:t>
      </w:r>
      <w:r w:rsidR="00160C8A">
        <w:t xml:space="preserve"> is the final report for the Preschool Attendance Strategies Project submitted to DESE in April 2021. </w:t>
      </w:r>
    </w:p>
    <w:p w14:paraId="77C3793E" w14:textId="77777777" w:rsidR="00160C8A" w:rsidRDefault="00160C8A" w:rsidP="00160C8A"/>
    <w:p w14:paraId="6B6594B1" w14:textId="53B2FC56" w:rsidR="005D0759" w:rsidRDefault="00160C8A" w:rsidP="00BA469C">
      <w:pPr>
        <w:rPr>
          <w:b/>
          <w:bCs/>
          <w:color w:val="001F5F"/>
        </w:rPr>
      </w:pPr>
      <w:r>
        <w:t>To the best of our knowledge, all the information in this Appendix report is correct as of 20 December 2019 when it was originally submitted. It is acknowledged that in the interim period there has been further research released and additional programs and practice implemented in jurisdictions across Australia with a purpose to increase participation in preschool.</w:t>
      </w:r>
      <w:r w:rsidR="00BA469C">
        <w:rPr>
          <w:b/>
          <w:bCs/>
          <w:color w:val="001F5F"/>
        </w:rPr>
        <w:t xml:space="preserve"> </w:t>
      </w:r>
    </w:p>
    <w:p w14:paraId="035F73CA" w14:textId="77777777" w:rsidR="00BA469C" w:rsidRDefault="00BA469C" w:rsidP="006F613E">
      <w:pPr>
        <w:rPr>
          <w:b/>
          <w:bCs/>
          <w:color w:val="001F5F"/>
        </w:rPr>
      </w:pPr>
    </w:p>
    <w:p w14:paraId="3F3645B8" w14:textId="4EFAB786" w:rsidR="006F613E" w:rsidRPr="006F613E" w:rsidRDefault="005D0759" w:rsidP="006F613E">
      <w:pPr>
        <w:rPr>
          <w:b/>
          <w:bCs/>
          <w:color w:val="001F5F"/>
        </w:rPr>
      </w:pPr>
      <w:r>
        <w:rPr>
          <w:b/>
          <w:bCs/>
          <w:color w:val="001F5F"/>
        </w:rPr>
        <w:t xml:space="preserve">The Smith Family </w:t>
      </w:r>
    </w:p>
    <w:p w14:paraId="7C429846" w14:textId="41010B4A" w:rsidR="006F613E" w:rsidRDefault="006F613E" w:rsidP="006F613E">
      <w:pPr>
        <w:spacing w:before="63" w:line="276" w:lineRule="auto"/>
        <w:ind w:right="213"/>
      </w:pPr>
      <w:r>
        <w:t xml:space="preserve">The Smith Family is a national charity founded in 1922 to improve the lives of children living in disadvantage in Australia. Our vision is a better future for young Australians in need. Our mission is to create opportunities for them by providing long-term support for their participation in education. This mission is founded on the belief that every child deserves a chance to thrive. </w:t>
      </w:r>
    </w:p>
    <w:p w14:paraId="21D8B8C8" w14:textId="77777777" w:rsidR="006F613E" w:rsidRDefault="006F613E" w:rsidP="006F613E">
      <w:pPr>
        <w:spacing w:before="63" w:line="276" w:lineRule="auto"/>
        <w:ind w:right="213"/>
      </w:pPr>
    </w:p>
    <w:p w14:paraId="1235942B" w14:textId="77777777" w:rsidR="006F613E" w:rsidRDefault="006F613E" w:rsidP="006F613E">
      <w:pPr>
        <w:spacing w:before="63" w:line="276" w:lineRule="auto"/>
        <w:ind w:right="213"/>
      </w:pPr>
      <w:r>
        <w:t xml:space="preserve">The Smith Family takes a place-based approach and is currently working in over 90 low SES communities across every state and territory. Over half of these are regional communities. </w:t>
      </w:r>
    </w:p>
    <w:p w14:paraId="2C820259" w14:textId="77777777" w:rsidR="006F613E" w:rsidRDefault="006F613E" w:rsidP="006F613E">
      <w:pPr>
        <w:spacing w:before="63" w:line="276" w:lineRule="auto"/>
        <w:ind w:right="213"/>
      </w:pPr>
    </w:p>
    <w:p w14:paraId="12A0EA2D" w14:textId="77777777" w:rsidR="006F613E" w:rsidRDefault="006F613E" w:rsidP="006F613E">
      <w:pPr>
        <w:spacing w:before="63" w:line="276" w:lineRule="auto"/>
        <w:ind w:right="213"/>
      </w:pPr>
      <w:r>
        <w:t xml:space="preserve">The Smith Family </w:t>
      </w:r>
    </w:p>
    <w:p w14:paraId="42446BA8" w14:textId="77777777" w:rsidR="006F613E" w:rsidRDefault="006F613E" w:rsidP="006F613E">
      <w:pPr>
        <w:spacing w:before="63" w:line="276" w:lineRule="auto"/>
        <w:ind w:right="213"/>
      </w:pPr>
      <w:r>
        <w:t xml:space="preserve">Level 9, 117 Clarence Street, Sydney NSW 2000 </w:t>
      </w:r>
    </w:p>
    <w:p w14:paraId="55E2E56B" w14:textId="77777777" w:rsidR="006F613E" w:rsidRDefault="006F613E" w:rsidP="006F613E">
      <w:pPr>
        <w:spacing w:before="63" w:line="276" w:lineRule="auto"/>
        <w:ind w:right="213"/>
      </w:pPr>
      <w:r>
        <w:t xml:space="preserve">GPO Box 10500, Sydney NSW 2001 </w:t>
      </w:r>
    </w:p>
    <w:p w14:paraId="7C882E75" w14:textId="77777777" w:rsidR="006F613E" w:rsidRDefault="006F613E" w:rsidP="006F613E">
      <w:pPr>
        <w:spacing w:before="63" w:line="276" w:lineRule="auto"/>
        <w:ind w:right="213"/>
      </w:pPr>
    </w:p>
    <w:p w14:paraId="0F6B309F" w14:textId="77777777" w:rsidR="006F613E" w:rsidRDefault="006F613E" w:rsidP="006F613E">
      <w:pPr>
        <w:spacing w:before="63" w:line="276" w:lineRule="auto"/>
        <w:ind w:right="213"/>
      </w:pPr>
      <w:r>
        <w:t xml:space="preserve">Phone: (02) 9085 7222 </w:t>
      </w:r>
    </w:p>
    <w:p w14:paraId="1E350FD1" w14:textId="77777777" w:rsidR="006F613E" w:rsidRDefault="006F613E" w:rsidP="006F613E">
      <w:pPr>
        <w:spacing w:before="63" w:line="276" w:lineRule="auto"/>
        <w:ind w:right="213"/>
      </w:pPr>
      <w:r>
        <w:t xml:space="preserve">Email: </w:t>
      </w:r>
      <w:hyperlink r:id="rId12" w:history="1">
        <w:r w:rsidRPr="00AC069C">
          <w:rPr>
            <w:rStyle w:val="Hyperlink"/>
          </w:rPr>
          <w:t>wendy.field@thesmithfamily.com.au</w:t>
        </w:r>
      </w:hyperlink>
      <w:r>
        <w:t xml:space="preserve"> </w:t>
      </w:r>
    </w:p>
    <w:p w14:paraId="74AC8669" w14:textId="77777777" w:rsidR="006F613E" w:rsidRDefault="006F613E" w:rsidP="006F613E">
      <w:pPr>
        <w:spacing w:before="63" w:line="276" w:lineRule="auto"/>
        <w:ind w:right="213"/>
      </w:pPr>
    </w:p>
    <w:p w14:paraId="19AD60E9" w14:textId="77777777" w:rsidR="006F613E" w:rsidRDefault="006F613E" w:rsidP="006F613E">
      <w:pPr>
        <w:spacing w:before="63" w:line="276" w:lineRule="auto"/>
        <w:ind w:right="213"/>
      </w:pPr>
      <w:r>
        <w:t xml:space="preserve">Further information may be found at </w:t>
      </w:r>
      <w:hyperlink r:id="rId13" w:history="1">
        <w:r w:rsidRPr="007462AE">
          <w:rPr>
            <w:rStyle w:val="Hyperlink"/>
          </w:rPr>
          <w:t>thesmithfamily.com.au</w:t>
        </w:r>
      </w:hyperlink>
    </w:p>
    <w:p w14:paraId="2B6B7A60" w14:textId="77777777" w:rsidR="006F613E" w:rsidRDefault="006F613E" w:rsidP="006F613E">
      <w:pPr>
        <w:spacing w:before="63" w:line="276" w:lineRule="auto"/>
        <w:ind w:right="213"/>
      </w:pPr>
    </w:p>
    <w:p w14:paraId="55428366" w14:textId="47FB3BB0" w:rsidR="006F613E" w:rsidRDefault="00160C8A" w:rsidP="006F613E">
      <w:pPr>
        <w:spacing w:before="63" w:line="276" w:lineRule="auto"/>
        <w:ind w:right="213"/>
      </w:pPr>
      <w:r>
        <w:t>Originally released: December 2019</w:t>
      </w:r>
      <w:r w:rsidR="005D0759">
        <w:t xml:space="preserve">. </w:t>
      </w:r>
      <w:r>
        <w:t xml:space="preserve"> Rereleased: </w:t>
      </w:r>
      <w:r w:rsidR="006F613E">
        <w:t>April 2021</w:t>
      </w:r>
      <w:r w:rsidR="005D0759">
        <w:t>.</w:t>
      </w:r>
    </w:p>
    <w:p w14:paraId="1FC3AC9C" w14:textId="5D030E99" w:rsidR="006F613E" w:rsidRDefault="006F613E"/>
    <w:sdt>
      <w:sdtPr>
        <w:rPr>
          <w:rFonts w:ascii="Arial" w:eastAsia="Arial" w:hAnsi="Arial" w:cs="Arial"/>
          <w:color w:val="auto"/>
          <w:sz w:val="22"/>
          <w:szCs w:val="22"/>
          <w:lang w:val="en-AU" w:eastAsia="en-AU" w:bidi="en-AU"/>
        </w:rPr>
        <w:id w:val="-1015762699"/>
        <w:docPartObj>
          <w:docPartGallery w:val="Table of Contents"/>
          <w:docPartUnique/>
        </w:docPartObj>
      </w:sdtPr>
      <w:sdtEndPr>
        <w:rPr>
          <w:bCs/>
          <w:noProof/>
        </w:rPr>
      </w:sdtEndPr>
      <w:sdtContent>
        <w:p w14:paraId="34614F3D" w14:textId="544EB031" w:rsidR="00310592" w:rsidRPr="000C6822" w:rsidRDefault="00310592" w:rsidP="00BA469C">
          <w:pPr>
            <w:pStyle w:val="TOCHeading"/>
            <w:tabs>
              <w:tab w:val="right" w:pos="9510"/>
            </w:tabs>
            <w:rPr>
              <w:rFonts w:ascii="Arial" w:hAnsi="Arial" w:cs="Arial"/>
            </w:rPr>
          </w:pPr>
          <w:r w:rsidRPr="000C6822">
            <w:rPr>
              <w:rFonts w:ascii="Arial" w:hAnsi="Arial" w:cs="Arial"/>
            </w:rPr>
            <w:t>Contents</w:t>
          </w:r>
          <w:bookmarkStart w:id="2" w:name="_GoBack"/>
          <w:bookmarkEnd w:id="2"/>
          <w:r w:rsidR="00BA469C">
            <w:rPr>
              <w:rFonts w:ascii="Arial" w:hAnsi="Arial" w:cs="Arial"/>
            </w:rPr>
            <w:tab/>
          </w:r>
        </w:p>
        <w:p w14:paraId="4F86E716" w14:textId="30BABB5A" w:rsidR="00606107" w:rsidRDefault="00310592">
          <w:pPr>
            <w:pStyle w:val="TOC3"/>
            <w:rPr>
              <w:rFonts w:asciiTheme="minorHAnsi" w:eastAsiaTheme="minorEastAsia" w:hAnsiTheme="minorHAnsi" w:cstheme="minorBidi"/>
              <w:noProof/>
              <w:lang w:bidi="ar-SA"/>
            </w:rPr>
          </w:pPr>
          <w:r w:rsidRPr="000C6822">
            <w:fldChar w:fldCharType="begin"/>
          </w:r>
          <w:r w:rsidRPr="000C6822">
            <w:instrText xml:space="preserve"> TOC \o "1-3" \h \z \u </w:instrText>
          </w:r>
          <w:r w:rsidRPr="000C6822">
            <w:fldChar w:fldCharType="separate"/>
          </w:r>
          <w:hyperlink w:anchor="_Toc75168385" w:history="1">
            <w:r w:rsidR="00606107" w:rsidRPr="00E47A7E">
              <w:rPr>
                <w:rStyle w:val="Hyperlink"/>
                <w:noProof/>
              </w:rPr>
              <w:t>Acknowledgment of Country</w:t>
            </w:r>
            <w:r w:rsidR="00606107">
              <w:rPr>
                <w:noProof/>
                <w:webHidden/>
              </w:rPr>
              <w:tab/>
            </w:r>
            <w:r w:rsidR="00606107">
              <w:rPr>
                <w:noProof/>
                <w:webHidden/>
              </w:rPr>
              <w:fldChar w:fldCharType="begin"/>
            </w:r>
            <w:r w:rsidR="00606107">
              <w:rPr>
                <w:noProof/>
                <w:webHidden/>
              </w:rPr>
              <w:instrText xml:space="preserve"> PAGEREF _Toc75168385 \h </w:instrText>
            </w:r>
            <w:r w:rsidR="00606107">
              <w:rPr>
                <w:noProof/>
                <w:webHidden/>
              </w:rPr>
            </w:r>
            <w:r w:rsidR="00606107">
              <w:rPr>
                <w:noProof/>
                <w:webHidden/>
              </w:rPr>
              <w:fldChar w:fldCharType="separate"/>
            </w:r>
            <w:r w:rsidR="00606107">
              <w:rPr>
                <w:noProof/>
                <w:webHidden/>
              </w:rPr>
              <w:t>2</w:t>
            </w:r>
            <w:r w:rsidR="00606107">
              <w:rPr>
                <w:noProof/>
                <w:webHidden/>
              </w:rPr>
              <w:fldChar w:fldCharType="end"/>
            </w:r>
          </w:hyperlink>
        </w:p>
        <w:p w14:paraId="055C1BC6" w14:textId="7BB03949" w:rsidR="00606107" w:rsidRDefault="00606107">
          <w:pPr>
            <w:pStyle w:val="TOC3"/>
            <w:rPr>
              <w:rFonts w:asciiTheme="minorHAnsi" w:eastAsiaTheme="minorEastAsia" w:hAnsiTheme="minorHAnsi" w:cstheme="minorBidi"/>
              <w:noProof/>
              <w:lang w:bidi="ar-SA"/>
            </w:rPr>
          </w:pPr>
          <w:hyperlink w:anchor="_Toc75168386" w:history="1">
            <w:r w:rsidRPr="00E47A7E">
              <w:rPr>
                <w:rStyle w:val="Hyperlink"/>
                <w:noProof/>
              </w:rPr>
              <w:t>Information on this report</w:t>
            </w:r>
            <w:r>
              <w:rPr>
                <w:noProof/>
                <w:webHidden/>
              </w:rPr>
              <w:tab/>
            </w:r>
            <w:r>
              <w:rPr>
                <w:noProof/>
                <w:webHidden/>
              </w:rPr>
              <w:fldChar w:fldCharType="begin"/>
            </w:r>
            <w:r>
              <w:rPr>
                <w:noProof/>
                <w:webHidden/>
              </w:rPr>
              <w:instrText xml:space="preserve"> PAGEREF _Toc75168386 \h </w:instrText>
            </w:r>
            <w:r>
              <w:rPr>
                <w:noProof/>
                <w:webHidden/>
              </w:rPr>
            </w:r>
            <w:r>
              <w:rPr>
                <w:noProof/>
                <w:webHidden/>
              </w:rPr>
              <w:fldChar w:fldCharType="separate"/>
            </w:r>
            <w:r>
              <w:rPr>
                <w:noProof/>
                <w:webHidden/>
              </w:rPr>
              <w:t>2</w:t>
            </w:r>
            <w:r>
              <w:rPr>
                <w:noProof/>
                <w:webHidden/>
              </w:rPr>
              <w:fldChar w:fldCharType="end"/>
            </w:r>
          </w:hyperlink>
        </w:p>
        <w:p w14:paraId="39A23A2B" w14:textId="0F8FABC5" w:rsidR="00606107" w:rsidRDefault="00606107">
          <w:pPr>
            <w:pStyle w:val="TOC1"/>
            <w:tabs>
              <w:tab w:val="right" w:leader="dot" w:pos="9500"/>
            </w:tabs>
            <w:rPr>
              <w:rFonts w:asciiTheme="minorHAnsi" w:eastAsiaTheme="minorEastAsia" w:hAnsiTheme="minorHAnsi" w:cstheme="minorBidi"/>
              <w:noProof/>
              <w:sz w:val="22"/>
              <w:szCs w:val="22"/>
              <w:lang w:bidi="ar-SA"/>
            </w:rPr>
          </w:pPr>
          <w:hyperlink w:anchor="_Toc75168387" w:history="1">
            <w:r w:rsidRPr="00E47A7E">
              <w:rPr>
                <w:rStyle w:val="Hyperlink"/>
                <w:noProof/>
              </w:rPr>
              <w:t>Introduction</w:t>
            </w:r>
            <w:r>
              <w:rPr>
                <w:noProof/>
                <w:webHidden/>
              </w:rPr>
              <w:tab/>
            </w:r>
            <w:r>
              <w:rPr>
                <w:noProof/>
                <w:webHidden/>
              </w:rPr>
              <w:fldChar w:fldCharType="begin"/>
            </w:r>
            <w:r>
              <w:rPr>
                <w:noProof/>
                <w:webHidden/>
              </w:rPr>
              <w:instrText xml:space="preserve"> PAGEREF _Toc75168387 \h </w:instrText>
            </w:r>
            <w:r>
              <w:rPr>
                <w:noProof/>
                <w:webHidden/>
              </w:rPr>
            </w:r>
            <w:r>
              <w:rPr>
                <w:noProof/>
                <w:webHidden/>
              </w:rPr>
              <w:fldChar w:fldCharType="separate"/>
            </w:r>
            <w:r>
              <w:rPr>
                <w:noProof/>
                <w:webHidden/>
              </w:rPr>
              <w:t>4</w:t>
            </w:r>
            <w:r>
              <w:rPr>
                <w:noProof/>
                <w:webHidden/>
              </w:rPr>
              <w:fldChar w:fldCharType="end"/>
            </w:r>
          </w:hyperlink>
        </w:p>
        <w:p w14:paraId="1F9E6927" w14:textId="4C0C4BAA" w:rsidR="00606107" w:rsidRDefault="00606107">
          <w:pPr>
            <w:pStyle w:val="TOC2"/>
            <w:tabs>
              <w:tab w:val="right" w:leader="dot" w:pos="9500"/>
            </w:tabs>
            <w:rPr>
              <w:rFonts w:cstheme="minorBidi"/>
              <w:noProof/>
              <w:lang w:val="en-AU" w:eastAsia="en-AU"/>
            </w:rPr>
          </w:pPr>
          <w:hyperlink w:anchor="_Toc75168388" w:history="1">
            <w:r w:rsidRPr="00E47A7E">
              <w:rPr>
                <w:rStyle w:val="Hyperlink"/>
                <w:noProof/>
                <w:lang w:bidi="en-AU"/>
              </w:rPr>
              <w:t>Report Methodology</w:t>
            </w:r>
            <w:r>
              <w:rPr>
                <w:noProof/>
                <w:webHidden/>
              </w:rPr>
              <w:tab/>
            </w:r>
            <w:r>
              <w:rPr>
                <w:noProof/>
                <w:webHidden/>
              </w:rPr>
              <w:fldChar w:fldCharType="begin"/>
            </w:r>
            <w:r>
              <w:rPr>
                <w:noProof/>
                <w:webHidden/>
              </w:rPr>
              <w:instrText xml:space="preserve"> PAGEREF _Toc75168388 \h </w:instrText>
            </w:r>
            <w:r>
              <w:rPr>
                <w:noProof/>
                <w:webHidden/>
              </w:rPr>
            </w:r>
            <w:r>
              <w:rPr>
                <w:noProof/>
                <w:webHidden/>
              </w:rPr>
              <w:fldChar w:fldCharType="separate"/>
            </w:r>
            <w:r>
              <w:rPr>
                <w:noProof/>
                <w:webHidden/>
              </w:rPr>
              <w:t>4</w:t>
            </w:r>
            <w:r>
              <w:rPr>
                <w:noProof/>
                <w:webHidden/>
              </w:rPr>
              <w:fldChar w:fldCharType="end"/>
            </w:r>
          </w:hyperlink>
        </w:p>
        <w:p w14:paraId="1B34B55E" w14:textId="1660C4F4" w:rsidR="00606107" w:rsidRDefault="00606107">
          <w:pPr>
            <w:pStyle w:val="TOC2"/>
            <w:tabs>
              <w:tab w:val="right" w:leader="dot" w:pos="9500"/>
            </w:tabs>
            <w:rPr>
              <w:rFonts w:cstheme="minorBidi"/>
              <w:noProof/>
              <w:lang w:val="en-AU" w:eastAsia="en-AU"/>
            </w:rPr>
          </w:pPr>
          <w:hyperlink w:anchor="_Toc75168389" w:history="1">
            <w:r w:rsidRPr="00E47A7E">
              <w:rPr>
                <w:rStyle w:val="Hyperlink"/>
                <w:noProof/>
                <w:lang w:bidi="en-AU"/>
              </w:rPr>
              <w:t>Report Structure</w:t>
            </w:r>
            <w:r>
              <w:rPr>
                <w:noProof/>
                <w:webHidden/>
              </w:rPr>
              <w:tab/>
            </w:r>
            <w:r>
              <w:rPr>
                <w:noProof/>
                <w:webHidden/>
              </w:rPr>
              <w:fldChar w:fldCharType="begin"/>
            </w:r>
            <w:r>
              <w:rPr>
                <w:noProof/>
                <w:webHidden/>
              </w:rPr>
              <w:instrText xml:space="preserve"> PAGEREF _Toc75168389 \h </w:instrText>
            </w:r>
            <w:r>
              <w:rPr>
                <w:noProof/>
                <w:webHidden/>
              </w:rPr>
            </w:r>
            <w:r>
              <w:rPr>
                <w:noProof/>
                <w:webHidden/>
              </w:rPr>
              <w:fldChar w:fldCharType="separate"/>
            </w:r>
            <w:r>
              <w:rPr>
                <w:noProof/>
                <w:webHidden/>
              </w:rPr>
              <w:t>4</w:t>
            </w:r>
            <w:r>
              <w:rPr>
                <w:noProof/>
                <w:webHidden/>
              </w:rPr>
              <w:fldChar w:fldCharType="end"/>
            </w:r>
          </w:hyperlink>
        </w:p>
        <w:p w14:paraId="501E9377" w14:textId="5B73C631" w:rsidR="00606107" w:rsidRDefault="00606107">
          <w:pPr>
            <w:pStyle w:val="TOC1"/>
            <w:tabs>
              <w:tab w:val="right" w:leader="dot" w:pos="9500"/>
            </w:tabs>
            <w:rPr>
              <w:rFonts w:asciiTheme="minorHAnsi" w:eastAsiaTheme="minorEastAsia" w:hAnsiTheme="minorHAnsi" w:cstheme="minorBidi"/>
              <w:noProof/>
              <w:sz w:val="22"/>
              <w:szCs w:val="22"/>
              <w:lang w:bidi="ar-SA"/>
            </w:rPr>
          </w:pPr>
          <w:hyperlink w:anchor="_Toc75168390" w:history="1">
            <w:r w:rsidRPr="00E47A7E">
              <w:rPr>
                <w:rStyle w:val="Hyperlink"/>
                <w:noProof/>
              </w:rPr>
              <w:t>Part 1: Preschool Participation Context</w:t>
            </w:r>
            <w:r>
              <w:rPr>
                <w:noProof/>
                <w:webHidden/>
              </w:rPr>
              <w:tab/>
            </w:r>
            <w:r>
              <w:rPr>
                <w:noProof/>
                <w:webHidden/>
              </w:rPr>
              <w:fldChar w:fldCharType="begin"/>
            </w:r>
            <w:r>
              <w:rPr>
                <w:noProof/>
                <w:webHidden/>
              </w:rPr>
              <w:instrText xml:space="preserve"> PAGEREF _Toc75168390 \h </w:instrText>
            </w:r>
            <w:r>
              <w:rPr>
                <w:noProof/>
                <w:webHidden/>
              </w:rPr>
            </w:r>
            <w:r>
              <w:rPr>
                <w:noProof/>
                <w:webHidden/>
              </w:rPr>
              <w:fldChar w:fldCharType="separate"/>
            </w:r>
            <w:r>
              <w:rPr>
                <w:noProof/>
                <w:webHidden/>
              </w:rPr>
              <w:t>5</w:t>
            </w:r>
            <w:r>
              <w:rPr>
                <w:noProof/>
                <w:webHidden/>
              </w:rPr>
              <w:fldChar w:fldCharType="end"/>
            </w:r>
          </w:hyperlink>
        </w:p>
        <w:p w14:paraId="400C1E89" w14:textId="0B05B365" w:rsidR="00606107" w:rsidRDefault="00606107">
          <w:pPr>
            <w:pStyle w:val="TOC2"/>
            <w:tabs>
              <w:tab w:val="right" w:leader="dot" w:pos="9500"/>
            </w:tabs>
            <w:rPr>
              <w:rFonts w:cstheme="minorBidi"/>
              <w:noProof/>
              <w:lang w:val="en-AU" w:eastAsia="en-AU"/>
            </w:rPr>
          </w:pPr>
          <w:hyperlink w:anchor="_Toc75168391" w:history="1">
            <w:r w:rsidRPr="00E47A7E">
              <w:rPr>
                <w:rStyle w:val="Hyperlink"/>
                <w:noProof/>
                <w:lang w:bidi="en-AU"/>
              </w:rPr>
              <w:t>Children’s development in the first year of school</w:t>
            </w:r>
            <w:r>
              <w:rPr>
                <w:noProof/>
                <w:webHidden/>
              </w:rPr>
              <w:tab/>
            </w:r>
            <w:r>
              <w:rPr>
                <w:noProof/>
                <w:webHidden/>
              </w:rPr>
              <w:fldChar w:fldCharType="begin"/>
            </w:r>
            <w:r>
              <w:rPr>
                <w:noProof/>
                <w:webHidden/>
              </w:rPr>
              <w:instrText xml:space="preserve"> PAGEREF _Toc75168391 \h </w:instrText>
            </w:r>
            <w:r>
              <w:rPr>
                <w:noProof/>
                <w:webHidden/>
              </w:rPr>
            </w:r>
            <w:r>
              <w:rPr>
                <w:noProof/>
                <w:webHidden/>
              </w:rPr>
              <w:fldChar w:fldCharType="separate"/>
            </w:r>
            <w:r>
              <w:rPr>
                <w:noProof/>
                <w:webHidden/>
              </w:rPr>
              <w:t>5</w:t>
            </w:r>
            <w:r>
              <w:rPr>
                <w:noProof/>
                <w:webHidden/>
              </w:rPr>
              <w:fldChar w:fldCharType="end"/>
            </w:r>
          </w:hyperlink>
        </w:p>
        <w:p w14:paraId="2BFC5399" w14:textId="7237239B" w:rsidR="00606107" w:rsidRDefault="00606107">
          <w:pPr>
            <w:pStyle w:val="TOC3"/>
            <w:rPr>
              <w:rFonts w:asciiTheme="minorHAnsi" w:eastAsiaTheme="minorEastAsia" w:hAnsiTheme="minorHAnsi" w:cstheme="minorBidi"/>
              <w:noProof/>
              <w:lang w:bidi="ar-SA"/>
            </w:rPr>
          </w:pPr>
          <w:hyperlink w:anchor="_Toc75168392" w:history="1">
            <w:r w:rsidRPr="00E47A7E">
              <w:rPr>
                <w:rStyle w:val="Hyperlink"/>
                <w:noProof/>
              </w:rPr>
              <w:t>The benefits of preschool</w:t>
            </w:r>
            <w:r>
              <w:rPr>
                <w:noProof/>
                <w:webHidden/>
              </w:rPr>
              <w:tab/>
            </w:r>
            <w:r>
              <w:rPr>
                <w:noProof/>
                <w:webHidden/>
              </w:rPr>
              <w:fldChar w:fldCharType="begin"/>
            </w:r>
            <w:r>
              <w:rPr>
                <w:noProof/>
                <w:webHidden/>
              </w:rPr>
              <w:instrText xml:space="preserve"> PAGEREF _Toc75168392 \h </w:instrText>
            </w:r>
            <w:r>
              <w:rPr>
                <w:noProof/>
                <w:webHidden/>
              </w:rPr>
            </w:r>
            <w:r>
              <w:rPr>
                <w:noProof/>
                <w:webHidden/>
              </w:rPr>
              <w:fldChar w:fldCharType="separate"/>
            </w:r>
            <w:r>
              <w:rPr>
                <w:noProof/>
                <w:webHidden/>
              </w:rPr>
              <w:t>5</w:t>
            </w:r>
            <w:r>
              <w:rPr>
                <w:noProof/>
                <w:webHidden/>
              </w:rPr>
              <w:fldChar w:fldCharType="end"/>
            </w:r>
          </w:hyperlink>
        </w:p>
        <w:p w14:paraId="0A1FE8A8" w14:textId="15B7DCD6" w:rsidR="00606107" w:rsidRDefault="00606107">
          <w:pPr>
            <w:pStyle w:val="TOC3"/>
            <w:rPr>
              <w:rFonts w:asciiTheme="minorHAnsi" w:eastAsiaTheme="minorEastAsia" w:hAnsiTheme="minorHAnsi" w:cstheme="minorBidi"/>
              <w:noProof/>
              <w:lang w:bidi="ar-SA"/>
            </w:rPr>
          </w:pPr>
          <w:hyperlink w:anchor="_Toc75168393" w:history="1">
            <w:r w:rsidRPr="00E47A7E">
              <w:rPr>
                <w:rStyle w:val="Hyperlink"/>
                <w:noProof/>
              </w:rPr>
              <w:t>Children’s development in the first year of school and preschool attendance</w:t>
            </w:r>
            <w:r>
              <w:rPr>
                <w:noProof/>
                <w:webHidden/>
              </w:rPr>
              <w:tab/>
            </w:r>
            <w:r>
              <w:rPr>
                <w:noProof/>
                <w:webHidden/>
              </w:rPr>
              <w:fldChar w:fldCharType="begin"/>
            </w:r>
            <w:r>
              <w:rPr>
                <w:noProof/>
                <w:webHidden/>
              </w:rPr>
              <w:instrText xml:space="preserve"> PAGEREF _Toc75168393 \h </w:instrText>
            </w:r>
            <w:r>
              <w:rPr>
                <w:noProof/>
                <w:webHidden/>
              </w:rPr>
            </w:r>
            <w:r>
              <w:rPr>
                <w:noProof/>
                <w:webHidden/>
              </w:rPr>
              <w:fldChar w:fldCharType="separate"/>
            </w:r>
            <w:r>
              <w:rPr>
                <w:noProof/>
                <w:webHidden/>
              </w:rPr>
              <w:t>6</w:t>
            </w:r>
            <w:r>
              <w:rPr>
                <w:noProof/>
                <w:webHidden/>
              </w:rPr>
              <w:fldChar w:fldCharType="end"/>
            </w:r>
          </w:hyperlink>
        </w:p>
        <w:p w14:paraId="052D20DE" w14:textId="7AE17D6F" w:rsidR="00606107" w:rsidRDefault="00606107">
          <w:pPr>
            <w:pStyle w:val="TOC3"/>
            <w:rPr>
              <w:rFonts w:asciiTheme="minorHAnsi" w:eastAsiaTheme="minorEastAsia" w:hAnsiTheme="minorHAnsi" w:cstheme="minorBidi"/>
              <w:noProof/>
              <w:lang w:bidi="ar-SA"/>
            </w:rPr>
          </w:pPr>
          <w:hyperlink w:anchor="_Toc75168394" w:history="1">
            <w:r w:rsidRPr="00E47A7E">
              <w:rPr>
                <w:rStyle w:val="Hyperlink"/>
                <w:noProof/>
              </w:rPr>
              <w:t>Positive preschool experiences</w:t>
            </w:r>
            <w:r>
              <w:rPr>
                <w:noProof/>
                <w:webHidden/>
              </w:rPr>
              <w:tab/>
            </w:r>
            <w:r>
              <w:rPr>
                <w:noProof/>
                <w:webHidden/>
              </w:rPr>
              <w:fldChar w:fldCharType="begin"/>
            </w:r>
            <w:r>
              <w:rPr>
                <w:noProof/>
                <w:webHidden/>
              </w:rPr>
              <w:instrText xml:space="preserve"> PAGEREF _Toc75168394 \h </w:instrText>
            </w:r>
            <w:r>
              <w:rPr>
                <w:noProof/>
                <w:webHidden/>
              </w:rPr>
            </w:r>
            <w:r>
              <w:rPr>
                <w:noProof/>
                <w:webHidden/>
              </w:rPr>
              <w:fldChar w:fldCharType="separate"/>
            </w:r>
            <w:r>
              <w:rPr>
                <w:noProof/>
                <w:webHidden/>
              </w:rPr>
              <w:t>7</w:t>
            </w:r>
            <w:r>
              <w:rPr>
                <w:noProof/>
                <w:webHidden/>
              </w:rPr>
              <w:fldChar w:fldCharType="end"/>
            </w:r>
          </w:hyperlink>
        </w:p>
        <w:p w14:paraId="2F52A217" w14:textId="44597716" w:rsidR="00606107" w:rsidRDefault="00606107">
          <w:pPr>
            <w:pStyle w:val="TOC3"/>
            <w:rPr>
              <w:rFonts w:asciiTheme="minorHAnsi" w:eastAsiaTheme="minorEastAsia" w:hAnsiTheme="minorHAnsi" w:cstheme="minorBidi"/>
              <w:noProof/>
              <w:lang w:bidi="ar-SA"/>
            </w:rPr>
          </w:pPr>
          <w:hyperlink w:anchor="_Toc75168395" w:history="1">
            <w:r w:rsidRPr="00E47A7E">
              <w:rPr>
                <w:rStyle w:val="Hyperlink"/>
                <w:noProof/>
              </w:rPr>
              <w:t>Barriers to participation</w:t>
            </w:r>
            <w:r>
              <w:rPr>
                <w:noProof/>
                <w:webHidden/>
              </w:rPr>
              <w:tab/>
            </w:r>
            <w:r>
              <w:rPr>
                <w:noProof/>
                <w:webHidden/>
              </w:rPr>
              <w:fldChar w:fldCharType="begin"/>
            </w:r>
            <w:r>
              <w:rPr>
                <w:noProof/>
                <w:webHidden/>
              </w:rPr>
              <w:instrText xml:space="preserve"> PAGEREF _Toc75168395 \h </w:instrText>
            </w:r>
            <w:r>
              <w:rPr>
                <w:noProof/>
                <w:webHidden/>
              </w:rPr>
            </w:r>
            <w:r>
              <w:rPr>
                <w:noProof/>
                <w:webHidden/>
              </w:rPr>
              <w:fldChar w:fldCharType="separate"/>
            </w:r>
            <w:r>
              <w:rPr>
                <w:noProof/>
                <w:webHidden/>
              </w:rPr>
              <w:t>9</w:t>
            </w:r>
            <w:r>
              <w:rPr>
                <w:noProof/>
                <w:webHidden/>
              </w:rPr>
              <w:fldChar w:fldCharType="end"/>
            </w:r>
          </w:hyperlink>
        </w:p>
        <w:p w14:paraId="1021241A" w14:textId="7FBB9137" w:rsidR="00606107" w:rsidRDefault="00606107">
          <w:pPr>
            <w:pStyle w:val="TOC3"/>
            <w:rPr>
              <w:rFonts w:asciiTheme="minorHAnsi" w:eastAsiaTheme="minorEastAsia" w:hAnsiTheme="minorHAnsi" w:cstheme="minorBidi"/>
              <w:noProof/>
              <w:lang w:bidi="ar-SA"/>
            </w:rPr>
          </w:pPr>
          <w:hyperlink w:anchor="_Toc75168396" w:history="1">
            <w:r w:rsidRPr="00E47A7E">
              <w:rPr>
                <w:rStyle w:val="Hyperlink"/>
                <w:noProof/>
              </w:rPr>
              <w:t>Looking beyond “hard to reach”</w:t>
            </w:r>
            <w:r>
              <w:rPr>
                <w:noProof/>
                <w:webHidden/>
              </w:rPr>
              <w:tab/>
            </w:r>
            <w:r>
              <w:rPr>
                <w:noProof/>
                <w:webHidden/>
              </w:rPr>
              <w:fldChar w:fldCharType="begin"/>
            </w:r>
            <w:r>
              <w:rPr>
                <w:noProof/>
                <w:webHidden/>
              </w:rPr>
              <w:instrText xml:space="preserve"> PAGEREF _Toc75168396 \h </w:instrText>
            </w:r>
            <w:r>
              <w:rPr>
                <w:noProof/>
                <w:webHidden/>
              </w:rPr>
            </w:r>
            <w:r>
              <w:rPr>
                <w:noProof/>
                <w:webHidden/>
              </w:rPr>
              <w:fldChar w:fldCharType="separate"/>
            </w:r>
            <w:r>
              <w:rPr>
                <w:noProof/>
                <w:webHidden/>
              </w:rPr>
              <w:t>10</w:t>
            </w:r>
            <w:r>
              <w:rPr>
                <w:noProof/>
                <w:webHidden/>
              </w:rPr>
              <w:fldChar w:fldCharType="end"/>
            </w:r>
          </w:hyperlink>
        </w:p>
        <w:p w14:paraId="6272A175" w14:textId="7DA72ACE" w:rsidR="00606107" w:rsidRDefault="00606107">
          <w:pPr>
            <w:pStyle w:val="TOC3"/>
            <w:rPr>
              <w:rFonts w:asciiTheme="minorHAnsi" w:eastAsiaTheme="minorEastAsia" w:hAnsiTheme="minorHAnsi" w:cstheme="minorBidi"/>
              <w:noProof/>
              <w:lang w:bidi="ar-SA"/>
            </w:rPr>
          </w:pPr>
          <w:hyperlink w:anchor="_Toc75168397" w:history="1">
            <w:r w:rsidRPr="00E47A7E">
              <w:rPr>
                <w:rStyle w:val="Hyperlink"/>
                <w:noProof/>
              </w:rPr>
              <w:t>The views of families in disadvantaged communities</w:t>
            </w:r>
            <w:r>
              <w:rPr>
                <w:noProof/>
                <w:webHidden/>
              </w:rPr>
              <w:tab/>
            </w:r>
            <w:r>
              <w:rPr>
                <w:noProof/>
                <w:webHidden/>
              </w:rPr>
              <w:fldChar w:fldCharType="begin"/>
            </w:r>
            <w:r>
              <w:rPr>
                <w:noProof/>
                <w:webHidden/>
              </w:rPr>
              <w:instrText xml:space="preserve"> PAGEREF _Toc75168397 \h </w:instrText>
            </w:r>
            <w:r>
              <w:rPr>
                <w:noProof/>
                <w:webHidden/>
              </w:rPr>
            </w:r>
            <w:r>
              <w:rPr>
                <w:noProof/>
                <w:webHidden/>
              </w:rPr>
              <w:fldChar w:fldCharType="separate"/>
            </w:r>
            <w:r>
              <w:rPr>
                <w:noProof/>
                <w:webHidden/>
              </w:rPr>
              <w:t>10</w:t>
            </w:r>
            <w:r>
              <w:rPr>
                <w:noProof/>
                <w:webHidden/>
              </w:rPr>
              <w:fldChar w:fldCharType="end"/>
            </w:r>
          </w:hyperlink>
        </w:p>
        <w:p w14:paraId="62A8DF31" w14:textId="111CCEEC" w:rsidR="00606107" w:rsidRDefault="00606107">
          <w:pPr>
            <w:pStyle w:val="TOC3"/>
            <w:rPr>
              <w:rFonts w:asciiTheme="minorHAnsi" w:eastAsiaTheme="minorEastAsia" w:hAnsiTheme="minorHAnsi" w:cstheme="minorBidi"/>
              <w:noProof/>
              <w:lang w:bidi="ar-SA"/>
            </w:rPr>
          </w:pPr>
          <w:hyperlink w:anchor="_Toc75168398" w:history="1">
            <w:r w:rsidRPr="00E47A7E">
              <w:rPr>
                <w:rStyle w:val="Hyperlink"/>
                <w:noProof/>
              </w:rPr>
              <w:t>Safety</w:t>
            </w:r>
            <w:r>
              <w:rPr>
                <w:noProof/>
                <w:webHidden/>
              </w:rPr>
              <w:tab/>
            </w:r>
            <w:r>
              <w:rPr>
                <w:noProof/>
                <w:webHidden/>
              </w:rPr>
              <w:fldChar w:fldCharType="begin"/>
            </w:r>
            <w:r>
              <w:rPr>
                <w:noProof/>
                <w:webHidden/>
              </w:rPr>
              <w:instrText xml:space="preserve"> PAGEREF _Toc75168398 \h </w:instrText>
            </w:r>
            <w:r>
              <w:rPr>
                <w:noProof/>
                <w:webHidden/>
              </w:rPr>
            </w:r>
            <w:r>
              <w:rPr>
                <w:noProof/>
                <w:webHidden/>
              </w:rPr>
              <w:fldChar w:fldCharType="separate"/>
            </w:r>
            <w:r>
              <w:rPr>
                <w:noProof/>
                <w:webHidden/>
              </w:rPr>
              <w:t>10</w:t>
            </w:r>
            <w:r>
              <w:rPr>
                <w:noProof/>
                <w:webHidden/>
              </w:rPr>
              <w:fldChar w:fldCharType="end"/>
            </w:r>
          </w:hyperlink>
        </w:p>
        <w:p w14:paraId="038744E7" w14:textId="314C77C4" w:rsidR="00606107" w:rsidRDefault="00606107">
          <w:pPr>
            <w:pStyle w:val="TOC1"/>
            <w:tabs>
              <w:tab w:val="right" w:leader="dot" w:pos="9500"/>
            </w:tabs>
            <w:rPr>
              <w:rFonts w:asciiTheme="minorHAnsi" w:eastAsiaTheme="minorEastAsia" w:hAnsiTheme="minorHAnsi" w:cstheme="minorBidi"/>
              <w:noProof/>
              <w:sz w:val="22"/>
              <w:szCs w:val="22"/>
              <w:lang w:bidi="ar-SA"/>
            </w:rPr>
          </w:pPr>
          <w:hyperlink w:anchor="_Toc75168399" w:history="1">
            <w:r w:rsidRPr="00E47A7E">
              <w:rPr>
                <w:rStyle w:val="Hyperlink"/>
                <w:noProof/>
              </w:rPr>
              <w:t>Part 2: Preschool across Australia</w:t>
            </w:r>
            <w:r>
              <w:rPr>
                <w:noProof/>
                <w:webHidden/>
              </w:rPr>
              <w:tab/>
            </w:r>
            <w:r>
              <w:rPr>
                <w:noProof/>
                <w:webHidden/>
              </w:rPr>
              <w:fldChar w:fldCharType="begin"/>
            </w:r>
            <w:r>
              <w:rPr>
                <w:noProof/>
                <w:webHidden/>
              </w:rPr>
              <w:instrText xml:space="preserve"> PAGEREF _Toc75168399 \h </w:instrText>
            </w:r>
            <w:r>
              <w:rPr>
                <w:noProof/>
                <w:webHidden/>
              </w:rPr>
            </w:r>
            <w:r>
              <w:rPr>
                <w:noProof/>
                <w:webHidden/>
              </w:rPr>
              <w:fldChar w:fldCharType="separate"/>
            </w:r>
            <w:r>
              <w:rPr>
                <w:noProof/>
                <w:webHidden/>
              </w:rPr>
              <w:t>12</w:t>
            </w:r>
            <w:r>
              <w:rPr>
                <w:noProof/>
                <w:webHidden/>
              </w:rPr>
              <w:fldChar w:fldCharType="end"/>
            </w:r>
          </w:hyperlink>
        </w:p>
        <w:p w14:paraId="776B0D2F" w14:textId="6777A9C7" w:rsidR="00606107" w:rsidRDefault="00606107">
          <w:pPr>
            <w:pStyle w:val="TOC2"/>
            <w:tabs>
              <w:tab w:val="right" w:leader="dot" w:pos="9500"/>
            </w:tabs>
            <w:rPr>
              <w:rFonts w:cstheme="minorBidi"/>
              <w:noProof/>
              <w:lang w:val="en-AU" w:eastAsia="en-AU"/>
            </w:rPr>
          </w:pPr>
          <w:hyperlink w:anchor="_Toc75168400" w:history="1">
            <w:r w:rsidRPr="00E47A7E">
              <w:rPr>
                <w:rStyle w:val="Hyperlink"/>
                <w:noProof/>
                <w:lang w:bidi="en-AU"/>
              </w:rPr>
              <w:t>Policy Context - Universal Access to Early Childhood Education</w:t>
            </w:r>
            <w:r>
              <w:rPr>
                <w:noProof/>
                <w:webHidden/>
              </w:rPr>
              <w:tab/>
            </w:r>
            <w:r>
              <w:rPr>
                <w:noProof/>
                <w:webHidden/>
              </w:rPr>
              <w:fldChar w:fldCharType="begin"/>
            </w:r>
            <w:r>
              <w:rPr>
                <w:noProof/>
                <w:webHidden/>
              </w:rPr>
              <w:instrText xml:space="preserve"> PAGEREF _Toc75168400 \h </w:instrText>
            </w:r>
            <w:r>
              <w:rPr>
                <w:noProof/>
                <w:webHidden/>
              </w:rPr>
            </w:r>
            <w:r>
              <w:rPr>
                <w:noProof/>
                <w:webHidden/>
              </w:rPr>
              <w:fldChar w:fldCharType="separate"/>
            </w:r>
            <w:r>
              <w:rPr>
                <w:noProof/>
                <w:webHidden/>
              </w:rPr>
              <w:t>12</w:t>
            </w:r>
            <w:r>
              <w:rPr>
                <w:noProof/>
                <w:webHidden/>
              </w:rPr>
              <w:fldChar w:fldCharType="end"/>
            </w:r>
          </w:hyperlink>
        </w:p>
        <w:p w14:paraId="60E5B7E9" w14:textId="5758110B" w:rsidR="00606107" w:rsidRDefault="00606107">
          <w:pPr>
            <w:pStyle w:val="TOC3"/>
            <w:rPr>
              <w:rFonts w:asciiTheme="minorHAnsi" w:eastAsiaTheme="minorEastAsia" w:hAnsiTheme="minorHAnsi" w:cstheme="minorBidi"/>
              <w:noProof/>
              <w:lang w:bidi="ar-SA"/>
            </w:rPr>
          </w:pPr>
          <w:hyperlink w:anchor="_Toc75168401" w:history="1">
            <w:r w:rsidRPr="00E47A7E">
              <w:rPr>
                <w:rStyle w:val="Hyperlink"/>
                <w:noProof/>
              </w:rPr>
              <w:t>Attendance at 600 hours per year</w:t>
            </w:r>
            <w:r>
              <w:rPr>
                <w:noProof/>
                <w:webHidden/>
              </w:rPr>
              <w:tab/>
            </w:r>
            <w:r>
              <w:rPr>
                <w:noProof/>
                <w:webHidden/>
              </w:rPr>
              <w:fldChar w:fldCharType="begin"/>
            </w:r>
            <w:r>
              <w:rPr>
                <w:noProof/>
                <w:webHidden/>
              </w:rPr>
              <w:instrText xml:space="preserve"> PAGEREF _Toc75168401 \h </w:instrText>
            </w:r>
            <w:r>
              <w:rPr>
                <w:noProof/>
                <w:webHidden/>
              </w:rPr>
            </w:r>
            <w:r>
              <w:rPr>
                <w:noProof/>
                <w:webHidden/>
              </w:rPr>
              <w:fldChar w:fldCharType="separate"/>
            </w:r>
            <w:r>
              <w:rPr>
                <w:noProof/>
                <w:webHidden/>
              </w:rPr>
              <w:t>13</w:t>
            </w:r>
            <w:r>
              <w:rPr>
                <w:noProof/>
                <w:webHidden/>
              </w:rPr>
              <w:fldChar w:fldCharType="end"/>
            </w:r>
          </w:hyperlink>
        </w:p>
        <w:p w14:paraId="67CD5EF4" w14:textId="7C0C8028" w:rsidR="00606107" w:rsidRDefault="00606107">
          <w:pPr>
            <w:pStyle w:val="TOC3"/>
            <w:rPr>
              <w:rFonts w:asciiTheme="minorHAnsi" w:eastAsiaTheme="minorEastAsia" w:hAnsiTheme="minorHAnsi" w:cstheme="minorBidi"/>
              <w:noProof/>
              <w:lang w:bidi="ar-SA"/>
            </w:rPr>
          </w:pPr>
          <w:hyperlink w:anchor="_Toc75168402" w:history="1">
            <w:r w:rsidRPr="00E47A7E">
              <w:rPr>
                <w:rStyle w:val="Hyperlink"/>
                <w:noProof/>
              </w:rPr>
              <w:t>Service delivery</w:t>
            </w:r>
            <w:r>
              <w:rPr>
                <w:noProof/>
                <w:webHidden/>
              </w:rPr>
              <w:tab/>
            </w:r>
            <w:r>
              <w:rPr>
                <w:noProof/>
                <w:webHidden/>
              </w:rPr>
              <w:fldChar w:fldCharType="begin"/>
            </w:r>
            <w:r>
              <w:rPr>
                <w:noProof/>
                <w:webHidden/>
              </w:rPr>
              <w:instrText xml:space="preserve"> PAGEREF _Toc75168402 \h </w:instrText>
            </w:r>
            <w:r>
              <w:rPr>
                <w:noProof/>
                <w:webHidden/>
              </w:rPr>
            </w:r>
            <w:r>
              <w:rPr>
                <w:noProof/>
                <w:webHidden/>
              </w:rPr>
              <w:fldChar w:fldCharType="separate"/>
            </w:r>
            <w:r>
              <w:rPr>
                <w:noProof/>
                <w:webHidden/>
              </w:rPr>
              <w:t>15</w:t>
            </w:r>
            <w:r>
              <w:rPr>
                <w:noProof/>
                <w:webHidden/>
              </w:rPr>
              <w:fldChar w:fldCharType="end"/>
            </w:r>
          </w:hyperlink>
        </w:p>
        <w:p w14:paraId="4CC09367" w14:textId="313C8C76" w:rsidR="00606107" w:rsidRDefault="00606107">
          <w:pPr>
            <w:pStyle w:val="TOC3"/>
            <w:rPr>
              <w:rFonts w:asciiTheme="minorHAnsi" w:eastAsiaTheme="minorEastAsia" w:hAnsiTheme="minorHAnsi" w:cstheme="minorBidi"/>
              <w:noProof/>
              <w:lang w:bidi="ar-SA"/>
            </w:rPr>
          </w:pPr>
          <w:hyperlink w:anchor="_Toc75168403" w:history="1">
            <w:r w:rsidRPr="00E47A7E">
              <w:rPr>
                <w:rStyle w:val="Hyperlink"/>
                <w:noProof/>
              </w:rPr>
              <w:t>Preschool services</w:t>
            </w:r>
            <w:r>
              <w:rPr>
                <w:noProof/>
                <w:webHidden/>
              </w:rPr>
              <w:tab/>
            </w:r>
            <w:r>
              <w:rPr>
                <w:noProof/>
                <w:webHidden/>
              </w:rPr>
              <w:fldChar w:fldCharType="begin"/>
            </w:r>
            <w:r>
              <w:rPr>
                <w:noProof/>
                <w:webHidden/>
              </w:rPr>
              <w:instrText xml:space="preserve"> PAGEREF _Toc75168403 \h </w:instrText>
            </w:r>
            <w:r>
              <w:rPr>
                <w:noProof/>
                <w:webHidden/>
              </w:rPr>
            </w:r>
            <w:r>
              <w:rPr>
                <w:noProof/>
                <w:webHidden/>
              </w:rPr>
              <w:fldChar w:fldCharType="separate"/>
            </w:r>
            <w:r>
              <w:rPr>
                <w:noProof/>
                <w:webHidden/>
              </w:rPr>
              <w:t>16</w:t>
            </w:r>
            <w:r>
              <w:rPr>
                <w:noProof/>
                <w:webHidden/>
              </w:rPr>
              <w:fldChar w:fldCharType="end"/>
            </w:r>
          </w:hyperlink>
        </w:p>
        <w:p w14:paraId="12E3AB51" w14:textId="166BB65C" w:rsidR="00606107" w:rsidRDefault="00606107">
          <w:pPr>
            <w:pStyle w:val="TOC1"/>
            <w:tabs>
              <w:tab w:val="right" w:leader="dot" w:pos="9500"/>
            </w:tabs>
            <w:rPr>
              <w:rFonts w:asciiTheme="minorHAnsi" w:eastAsiaTheme="minorEastAsia" w:hAnsiTheme="minorHAnsi" w:cstheme="minorBidi"/>
              <w:noProof/>
              <w:sz w:val="22"/>
              <w:szCs w:val="22"/>
              <w:lang w:bidi="ar-SA"/>
            </w:rPr>
          </w:pPr>
          <w:hyperlink w:anchor="_Toc75168404" w:history="1">
            <w:r w:rsidRPr="00E47A7E">
              <w:rPr>
                <w:rStyle w:val="Hyperlink"/>
                <w:noProof/>
              </w:rPr>
              <w:t>Part 3: Preschool in the States and Territories</w:t>
            </w:r>
            <w:r>
              <w:rPr>
                <w:noProof/>
                <w:webHidden/>
              </w:rPr>
              <w:tab/>
            </w:r>
            <w:r>
              <w:rPr>
                <w:noProof/>
                <w:webHidden/>
              </w:rPr>
              <w:fldChar w:fldCharType="begin"/>
            </w:r>
            <w:r>
              <w:rPr>
                <w:noProof/>
                <w:webHidden/>
              </w:rPr>
              <w:instrText xml:space="preserve"> PAGEREF _Toc75168404 \h </w:instrText>
            </w:r>
            <w:r>
              <w:rPr>
                <w:noProof/>
                <w:webHidden/>
              </w:rPr>
            </w:r>
            <w:r>
              <w:rPr>
                <w:noProof/>
                <w:webHidden/>
              </w:rPr>
              <w:fldChar w:fldCharType="separate"/>
            </w:r>
            <w:r>
              <w:rPr>
                <w:noProof/>
                <w:webHidden/>
              </w:rPr>
              <w:t>18</w:t>
            </w:r>
            <w:r>
              <w:rPr>
                <w:noProof/>
                <w:webHidden/>
              </w:rPr>
              <w:fldChar w:fldCharType="end"/>
            </w:r>
          </w:hyperlink>
        </w:p>
        <w:p w14:paraId="432FEE2F" w14:textId="1F191B03" w:rsidR="00606107" w:rsidRDefault="00606107">
          <w:pPr>
            <w:pStyle w:val="TOC2"/>
            <w:tabs>
              <w:tab w:val="right" w:leader="dot" w:pos="9500"/>
            </w:tabs>
            <w:rPr>
              <w:rFonts w:cstheme="minorBidi"/>
              <w:noProof/>
              <w:lang w:val="en-AU" w:eastAsia="en-AU"/>
            </w:rPr>
          </w:pPr>
          <w:hyperlink w:anchor="_Toc75168405" w:history="1">
            <w:r w:rsidRPr="00E47A7E">
              <w:rPr>
                <w:rStyle w:val="Hyperlink"/>
                <w:noProof/>
                <w:lang w:bidi="en-AU"/>
              </w:rPr>
              <w:t>Overview</w:t>
            </w:r>
            <w:r>
              <w:rPr>
                <w:noProof/>
                <w:webHidden/>
              </w:rPr>
              <w:tab/>
            </w:r>
            <w:r>
              <w:rPr>
                <w:noProof/>
                <w:webHidden/>
              </w:rPr>
              <w:fldChar w:fldCharType="begin"/>
            </w:r>
            <w:r>
              <w:rPr>
                <w:noProof/>
                <w:webHidden/>
              </w:rPr>
              <w:instrText xml:space="preserve"> PAGEREF _Toc75168405 \h </w:instrText>
            </w:r>
            <w:r>
              <w:rPr>
                <w:noProof/>
                <w:webHidden/>
              </w:rPr>
            </w:r>
            <w:r>
              <w:rPr>
                <w:noProof/>
                <w:webHidden/>
              </w:rPr>
              <w:fldChar w:fldCharType="separate"/>
            </w:r>
            <w:r>
              <w:rPr>
                <w:noProof/>
                <w:webHidden/>
              </w:rPr>
              <w:t>18</w:t>
            </w:r>
            <w:r>
              <w:rPr>
                <w:noProof/>
                <w:webHidden/>
              </w:rPr>
              <w:fldChar w:fldCharType="end"/>
            </w:r>
          </w:hyperlink>
        </w:p>
        <w:p w14:paraId="20D15DEA" w14:textId="617DA82B" w:rsidR="00606107" w:rsidRDefault="00606107">
          <w:pPr>
            <w:pStyle w:val="TOC3"/>
            <w:rPr>
              <w:rFonts w:asciiTheme="minorHAnsi" w:eastAsiaTheme="minorEastAsia" w:hAnsiTheme="minorHAnsi" w:cstheme="minorBidi"/>
              <w:noProof/>
              <w:lang w:bidi="ar-SA"/>
            </w:rPr>
          </w:pPr>
          <w:hyperlink w:anchor="_Toc75168406" w:history="1">
            <w:r w:rsidRPr="00E47A7E">
              <w:rPr>
                <w:rStyle w:val="Hyperlink"/>
                <w:noProof/>
              </w:rPr>
              <w:t>Varied policy, practice and funding approaches</w:t>
            </w:r>
            <w:r>
              <w:rPr>
                <w:noProof/>
                <w:webHidden/>
              </w:rPr>
              <w:tab/>
            </w:r>
            <w:r>
              <w:rPr>
                <w:noProof/>
                <w:webHidden/>
              </w:rPr>
              <w:fldChar w:fldCharType="begin"/>
            </w:r>
            <w:r>
              <w:rPr>
                <w:noProof/>
                <w:webHidden/>
              </w:rPr>
              <w:instrText xml:space="preserve"> PAGEREF _Toc75168406 \h </w:instrText>
            </w:r>
            <w:r>
              <w:rPr>
                <w:noProof/>
                <w:webHidden/>
              </w:rPr>
            </w:r>
            <w:r>
              <w:rPr>
                <w:noProof/>
                <w:webHidden/>
              </w:rPr>
              <w:fldChar w:fldCharType="separate"/>
            </w:r>
            <w:r>
              <w:rPr>
                <w:noProof/>
                <w:webHidden/>
              </w:rPr>
              <w:t>18</w:t>
            </w:r>
            <w:r>
              <w:rPr>
                <w:noProof/>
                <w:webHidden/>
              </w:rPr>
              <w:fldChar w:fldCharType="end"/>
            </w:r>
          </w:hyperlink>
        </w:p>
        <w:p w14:paraId="1B0C8F82" w14:textId="664BE193" w:rsidR="00606107" w:rsidRDefault="00606107">
          <w:pPr>
            <w:pStyle w:val="TOC3"/>
            <w:rPr>
              <w:rFonts w:asciiTheme="minorHAnsi" w:eastAsiaTheme="minorEastAsia" w:hAnsiTheme="minorHAnsi" w:cstheme="minorBidi"/>
              <w:noProof/>
              <w:lang w:bidi="ar-SA"/>
            </w:rPr>
          </w:pPr>
          <w:hyperlink w:anchor="_Toc75168407" w:history="1">
            <w:r w:rsidRPr="00E47A7E">
              <w:rPr>
                <w:rStyle w:val="Hyperlink"/>
                <w:noProof/>
              </w:rPr>
              <w:t>What is known about how effective these approaches are?</w:t>
            </w:r>
            <w:r>
              <w:rPr>
                <w:noProof/>
                <w:webHidden/>
              </w:rPr>
              <w:tab/>
            </w:r>
            <w:r>
              <w:rPr>
                <w:noProof/>
                <w:webHidden/>
              </w:rPr>
              <w:fldChar w:fldCharType="begin"/>
            </w:r>
            <w:r>
              <w:rPr>
                <w:noProof/>
                <w:webHidden/>
              </w:rPr>
              <w:instrText xml:space="preserve"> PAGEREF _Toc75168407 \h </w:instrText>
            </w:r>
            <w:r>
              <w:rPr>
                <w:noProof/>
                <w:webHidden/>
              </w:rPr>
            </w:r>
            <w:r>
              <w:rPr>
                <w:noProof/>
                <w:webHidden/>
              </w:rPr>
              <w:fldChar w:fldCharType="separate"/>
            </w:r>
            <w:r>
              <w:rPr>
                <w:noProof/>
                <w:webHidden/>
              </w:rPr>
              <w:t>18</w:t>
            </w:r>
            <w:r>
              <w:rPr>
                <w:noProof/>
                <w:webHidden/>
              </w:rPr>
              <w:fldChar w:fldCharType="end"/>
            </w:r>
          </w:hyperlink>
        </w:p>
        <w:p w14:paraId="4BEA3C3A" w14:textId="6D1341F0" w:rsidR="00606107" w:rsidRDefault="00606107">
          <w:pPr>
            <w:pStyle w:val="TOC3"/>
            <w:rPr>
              <w:rFonts w:asciiTheme="minorHAnsi" w:eastAsiaTheme="minorEastAsia" w:hAnsiTheme="minorHAnsi" w:cstheme="minorBidi"/>
              <w:noProof/>
              <w:lang w:bidi="ar-SA"/>
            </w:rPr>
          </w:pPr>
          <w:hyperlink w:anchor="_Toc75168408" w:history="1">
            <w:r w:rsidRPr="00E47A7E">
              <w:rPr>
                <w:rStyle w:val="Hyperlink"/>
                <w:noProof/>
              </w:rPr>
              <w:t>Programs and initiatives across States and Territories</w:t>
            </w:r>
            <w:r>
              <w:rPr>
                <w:noProof/>
                <w:webHidden/>
              </w:rPr>
              <w:tab/>
            </w:r>
            <w:r>
              <w:rPr>
                <w:noProof/>
                <w:webHidden/>
              </w:rPr>
              <w:fldChar w:fldCharType="begin"/>
            </w:r>
            <w:r>
              <w:rPr>
                <w:noProof/>
                <w:webHidden/>
              </w:rPr>
              <w:instrText xml:space="preserve"> PAGEREF _Toc75168408 \h </w:instrText>
            </w:r>
            <w:r>
              <w:rPr>
                <w:noProof/>
                <w:webHidden/>
              </w:rPr>
            </w:r>
            <w:r>
              <w:rPr>
                <w:noProof/>
                <w:webHidden/>
              </w:rPr>
              <w:fldChar w:fldCharType="separate"/>
            </w:r>
            <w:r>
              <w:rPr>
                <w:noProof/>
                <w:webHidden/>
              </w:rPr>
              <w:t>19</w:t>
            </w:r>
            <w:r>
              <w:rPr>
                <w:noProof/>
                <w:webHidden/>
              </w:rPr>
              <w:fldChar w:fldCharType="end"/>
            </w:r>
          </w:hyperlink>
        </w:p>
        <w:p w14:paraId="74155A47" w14:textId="37B0293F" w:rsidR="00606107" w:rsidRDefault="00606107">
          <w:pPr>
            <w:pStyle w:val="TOC1"/>
            <w:tabs>
              <w:tab w:val="right" w:leader="dot" w:pos="9500"/>
            </w:tabs>
            <w:rPr>
              <w:rFonts w:asciiTheme="minorHAnsi" w:eastAsiaTheme="minorEastAsia" w:hAnsiTheme="minorHAnsi" w:cstheme="minorBidi"/>
              <w:noProof/>
              <w:sz w:val="22"/>
              <w:szCs w:val="22"/>
              <w:lang w:bidi="ar-SA"/>
            </w:rPr>
          </w:pPr>
          <w:hyperlink w:anchor="_Toc75168409" w:history="1">
            <w:r w:rsidRPr="00E47A7E">
              <w:rPr>
                <w:rStyle w:val="Hyperlink"/>
                <w:rFonts w:cs="Times New Roman"/>
                <w:noProof/>
                <w:lang w:eastAsia="en-US"/>
              </w:rPr>
              <w:t>Part 4: Key Findings</w:t>
            </w:r>
            <w:r>
              <w:rPr>
                <w:noProof/>
                <w:webHidden/>
              </w:rPr>
              <w:tab/>
            </w:r>
            <w:r>
              <w:rPr>
                <w:noProof/>
                <w:webHidden/>
              </w:rPr>
              <w:fldChar w:fldCharType="begin"/>
            </w:r>
            <w:r>
              <w:rPr>
                <w:noProof/>
                <w:webHidden/>
              </w:rPr>
              <w:instrText xml:space="preserve"> PAGEREF _Toc75168409 \h </w:instrText>
            </w:r>
            <w:r>
              <w:rPr>
                <w:noProof/>
                <w:webHidden/>
              </w:rPr>
            </w:r>
            <w:r>
              <w:rPr>
                <w:noProof/>
                <w:webHidden/>
              </w:rPr>
              <w:fldChar w:fldCharType="separate"/>
            </w:r>
            <w:r>
              <w:rPr>
                <w:noProof/>
                <w:webHidden/>
              </w:rPr>
              <w:t>44</w:t>
            </w:r>
            <w:r>
              <w:rPr>
                <w:noProof/>
                <w:webHidden/>
              </w:rPr>
              <w:fldChar w:fldCharType="end"/>
            </w:r>
          </w:hyperlink>
        </w:p>
        <w:p w14:paraId="7235547E" w14:textId="386B500E" w:rsidR="00606107" w:rsidRDefault="00606107">
          <w:pPr>
            <w:pStyle w:val="TOC2"/>
            <w:tabs>
              <w:tab w:val="right" w:leader="dot" w:pos="9500"/>
            </w:tabs>
            <w:rPr>
              <w:rFonts w:cstheme="minorBidi"/>
              <w:noProof/>
              <w:lang w:val="en-AU" w:eastAsia="en-AU"/>
            </w:rPr>
          </w:pPr>
          <w:hyperlink w:anchor="_Toc75168410" w:history="1">
            <w:r w:rsidRPr="00E47A7E">
              <w:rPr>
                <w:rStyle w:val="Hyperlink"/>
                <w:noProof/>
                <w:lang w:bidi="en-AU"/>
              </w:rPr>
              <w:t>Challenges to understanding children’s participation and what works</w:t>
            </w:r>
            <w:r>
              <w:rPr>
                <w:noProof/>
                <w:webHidden/>
              </w:rPr>
              <w:tab/>
            </w:r>
            <w:r>
              <w:rPr>
                <w:noProof/>
                <w:webHidden/>
              </w:rPr>
              <w:fldChar w:fldCharType="begin"/>
            </w:r>
            <w:r>
              <w:rPr>
                <w:noProof/>
                <w:webHidden/>
              </w:rPr>
              <w:instrText xml:space="preserve"> PAGEREF _Toc75168410 \h </w:instrText>
            </w:r>
            <w:r>
              <w:rPr>
                <w:noProof/>
                <w:webHidden/>
              </w:rPr>
            </w:r>
            <w:r>
              <w:rPr>
                <w:noProof/>
                <w:webHidden/>
              </w:rPr>
              <w:fldChar w:fldCharType="separate"/>
            </w:r>
            <w:r>
              <w:rPr>
                <w:noProof/>
                <w:webHidden/>
              </w:rPr>
              <w:t>44</w:t>
            </w:r>
            <w:r>
              <w:rPr>
                <w:noProof/>
                <w:webHidden/>
              </w:rPr>
              <w:fldChar w:fldCharType="end"/>
            </w:r>
          </w:hyperlink>
        </w:p>
        <w:p w14:paraId="02F76BF9" w14:textId="3FA252BA" w:rsidR="00606107" w:rsidRDefault="00606107">
          <w:pPr>
            <w:pStyle w:val="TOC3"/>
            <w:rPr>
              <w:rFonts w:asciiTheme="minorHAnsi" w:eastAsiaTheme="minorEastAsia" w:hAnsiTheme="minorHAnsi" w:cstheme="minorBidi"/>
              <w:noProof/>
              <w:lang w:bidi="ar-SA"/>
            </w:rPr>
          </w:pPr>
          <w:hyperlink w:anchor="_Toc75168411" w:history="1">
            <w:r w:rsidRPr="00E47A7E">
              <w:rPr>
                <w:rStyle w:val="Hyperlink"/>
                <w:noProof/>
              </w:rPr>
              <w:t>Conclusion</w:t>
            </w:r>
            <w:r>
              <w:rPr>
                <w:noProof/>
                <w:webHidden/>
              </w:rPr>
              <w:tab/>
            </w:r>
            <w:r>
              <w:rPr>
                <w:noProof/>
                <w:webHidden/>
              </w:rPr>
              <w:fldChar w:fldCharType="begin"/>
            </w:r>
            <w:r>
              <w:rPr>
                <w:noProof/>
                <w:webHidden/>
              </w:rPr>
              <w:instrText xml:space="preserve"> PAGEREF _Toc75168411 \h </w:instrText>
            </w:r>
            <w:r>
              <w:rPr>
                <w:noProof/>
                <w:webHidden/>
              </w:rPr>
            </w:r>
            <w:r>
              <w:rPr>
                <w:noProof/>
                <w:webHidden/>
              </w:rPr>
              <w:fldChar w:fldCharType="separate"/>
            </w:r>
            <w:r>
              <w:rPr>
                <w:noProof/>
                <w:webHidden/>
              </w:rPr>
              <w:t>45</w:t>
            </w:r>
            <w:r>
              <w:rPr>
                <w:noProof/>
                <w:webHidden/>
              </w:rPr>
              <w:fldChar w:fldCharType="end"/>
            </w:r>
          </w:hyperlink>
        </w:p>
        <w:p w14:paraId="68F5EF38" w14:textId="33DAC600" w:rsidR="00606107" w:rsidRDefault="00606107">
          <w:pPr>
            <w:pStyle w:val="TOC1"/>
            <w:tabs>
              <w:tab w:val="right" w:leader="dot" w:pos="9500"/>
            </w:tabs>
            <w:rPr>
              <w:rFonts w:asciiTheme="minorHAnsi" w:eastAsiaTheme="minorEastAsia" w:hAnsiTheme="minorHAnsi" w:cstheme="minorBidi"/>
              <w:noProof/>
              <w:sz w:val="22"/>
              <w:szCs w:val="22"/>
              <w:lang w:bidi="ar-SA"/>
            </w:rPr>
          </w:pPr>
          <w:hyperlink w:anchor="_Toc75168412" w:history="1">
            <w:r w:rsidRPr="00E47A7E">
              <w:rPr>
                <w:rStyle w:val="Hyperlink"/>
                <w:b/>
                <w:bCs/>
                <w:noProof/>
              </w:rPr>
              <w:t>Bibliography</w:t>
            </w:r>
            <w:r>
              <w:rPr>
                <w:noProof/>
                <w:webHidden/>
              </w:rPr>
              <w:tab/>
            </w:r>
            <w:r>
              <w:rPr>
                <w:noProof/>
                <w:webHidden/>
              </w:rPr>
              <w:fldChar w:fldCharType="begin"/>
            </w:r>
            <w:r>
              <w:rPr>
                <w:noProof/>
                <w:webHidden/>
              </w:rPr>
              <w:instrText xml:space="preserve"> PAGEREF _Toc75168412 \h </w:instrText>
            </w:r>
            <w:r>
              <w:rPr>
                <w:noProof/>
                <w:webHidden/>
              </w:rPr>
            </w:r>
            <w:r>
              <w:rPr>
                <w:noProof/>
                <w:webHidden/>
              </w:rPr>
              <w:fldChar w:fldCharType="separate"/>
            </w:r>
            <w:r>
              <w:rPr>
                <w:noProof/>
                <w:webHidden/>
              </w:rPr>
              <w:t>46</w:t>
            </w:r>
            <w:r>
              <w:rPr>
                <w:noProof/>
                <w:webHidden/>
              </w:rPr>
              <w:fldChar w:fldCharType="end"/>
            </w:r>
          </w:hyperlink>
        </w:p>
        <w:p w14:paraId="4DDAFCB8" w14:textId="2E640E57" w:rsidR="0098332C" w:rsidRDefault="00310592">
          <w:pPr>
            <w:sectPr w:rsidR="0098332C">
              <w:headerReference w:type="default" r:id="rId14"/>
              <w:footerReference w:type="default" r:id="rId15"/>
              <w:pgSz w:w="11910" w:h="16840"/>
              <w:pgMar w:top="1700" w:right="1220" w:bottom="920" w:left="1180" w:header="567" w:footer="730" w:gutter="0"/>
              <w:pgNumType w:start="2"/>
              <w:cols w:space="720"/>
            </w:sectPr>
          </w:pPr>
          <w:r w:rsidRPr="000C6822">
            <w:rPr>
              <w:bCs/>
              <w:noProof/>
            </w:rPr>
            <w:fldChar w:fldCharType="end"/>
          </w:r>
        </w:p>
      </w:sdtContent>
    </w:sdt>
    <w:p w14:paraId="651E0678" w14:textId="6DF16574" w:rsidR="0098332C" w:rsidRPr="00D464BF" w:rsidRDefault="002C2810" w:rsidP="00D464BF">
      <w:pPr>
        <w:pStyle w:val="Heading1"/>
        <w:rPr>
          <w:color w:val="1F497D" w:themeColor="text2"/>
        </w:rPr>
      </w:pPr>
      <w:bookmarkStart w:id="3" w:name="_Toc75168387"/>
      <w:r w:rsidRPr="00D464BF">
        <w:rPr>
          <w:color w:val="1F497D" w:themeColor="text2"/>
        </w:rPr>
        <w:t>Introduction</w:t>
      </w:r>
      <w:bookmarkEnd w:id="3"/>
    </w:p>
    <w:p w14:paraId="598BF258" w14:textId="0BC48CA5" w:rsidR="00D10232" w:rsidRDefault="00D10232" w:rsidP="00D10232">
      <w:pPr>
        <w:ind w:left="270"/>
      </w:pPr>
    </w:p>
    <w:p w14:paraId="341FDD80" w14:textId="77777777" w:rsidR="00D464BF" w:rsidRDefault="00D10232" w:rsidP="00D464BF">
      <w:pPr>
        <w:ind w:left="270"/>
      </w:pPr>
      <w:r>
        <w:t xml:space="preserve">This </w:t>
      </w:r>
      <w:r w:rsidR="00B147CA">
        <w:t>Preschool Participation Report 2019</w:t>
      </w:r>
      <w:r>
        <w:t xml:space="preserve"> </w:t>
      </w:r>
      <w:r w:rsidR="008D1DE6">
        <w:t xml:space="preserve">is included as Appendix 2 of </w:t>
      </w:r>
      <w:r w:rsidR="00CC1834">
        <w:t xml:space="preserve">the Small Steps, Big Futures Report for the </w:t>
      </w:r>
      <w:r>
        <w:t>Preschool Attendance Strategies Project (the Project).  The purpose of this Report is to synthesise exi</w:t>
      </w:r>
      <w:r w:rsidR="00E75A2A">
        <w:t xml:space="preserve">sting research and to document </w:t>
      </w:r>
      <w:r>
        <w:t>programs and practice in Australian jurisdictions to increase preschool</w:t>
      </w:r>
      <w:r w:rsidR="00CE17B9">
        <w:rPr>
          <w:rStyle w:val="FootnoteReference"/>
        </w:rPr>
        <w:footnoteReference w:id="2"/>
      </w:r>
      <w:r>
        <w:t xml:space="preserve"> participation.  Given that this a</w:t>
      </w:r>
      <w:r w:rsidR="00CE17B9">
        <w:t>rea has been very well documented</w:t>
      </w:r>
      <w:r>
        <w:t>, including through a range of public inquiries, this research is not intended to cover the full gamut of the preschool situation in Australia.  Rather it will identify, where possible, good practice and critical success factors for increasing preschool participation</w:t>
      </w:r>
      <w:r w:rsidR="00685FCF">
        <w:rPr>
          <w:rStyle w:val="FootnoteReference"/>
        </w:rPr>
        <w:footnoteReference w:id="3"/>
      </w:r>
      <w:r>
        <w:t>.</w:t>
      </w:r>
      <w:r w:rsidR="00CC1834">
        <w:t xml:space="preserve"> </w:t>
      </w:r>
    </w:p>
    <w:p w14:paraId="3CF3680D" w14:textId="77777777" w:rsidR="00D464BF" w:rsidRDefault="00D464BF" w:rsidP="00D464BF">
      <w:pPr>
        <w:ind w:left="270"/>
      </w:pPr>
    </w:p>
    <w:p w14:paraId="6865DAA7" w14:textId="1E28EEA1" w:rsidR="00FC0BDF" w:rsidRPr="00D464BF" w:rsidRDefault="00FC0BDF" w:rsidP="00D464BF">
      <w:pPr>
        <w:pStyle w:val="Heading2"/>
        <w:ind w:left="260"/>
      </w:pPr>
      <w:bookmarkStart w:id="4" w:name="_Toc75168388"/>
      <w:r w:rsidRPr="00D464BF">
        <w:t>Report Methodology</w:t>
      </w:r>
      <w:bookmarkEnd w:id="4"/>
    </w:p>
    <w:p w14:paraId="2E137C02" w14:textId="29B3E3E3" w:rsidR="00D464BF" w:rsidRDefault="00FC0BDF" w:rsidP="00D464BF">
      <w:pPr>
        <w:ind w:left="260"/>
        <w:jc w:val="both"/>
        <w:rPr>
          <w:color w:val="000000"/>
        </w:rPr>
      </w:pPr>
      <w:r w:rsidRPr="00A841AB">
        <w:rPr>
          <w:bCs/>
          <w:color w:val="000000"/>
        </w:rPr>
        <w:t xml:space="preserve">Each jurisdiction was invited to provide to the </w:t>
      </w:r>
      <w:r w:rsidR="004D2ABF">
        <w:rPr>
          <w:bCs/>
          <w:color w:val="000000"/>
        </w:rPr>
        <w:t>Project</w:t>
      </w:r>
      <w:r w:rsidRPr="00A841AB">
        <w:rPr>
          <w:bCs/>
          <w:color w:val="000000"/>
        </w:rPr>
        <w:t xml:space="preserve"> </w:t>
      </w:r>
      <w:r>
        <w:rPr>
          <w:bCs/>
          <w:color w:val="000000"/>
        </w:rPr>
        <w:t>a</w:t>
      </w:r>
      <w:r w:rsidRPr="00A841AB">
        <w:rPr>
          <w:bCs/>
          <w:color w:val="000000"/>
        </w:rPr>
        <w:t xml:space="preserve">vailable reports and evaluations on programs or initiatives designed to increase </w:t>
      </w:r>
      <w:r w:rsidR="004D2ABF">
        <w:rPr>
          <w:bCs/>
          <w:color w:val="000000"/>
        </w:rPr>
        <w:t xml:space="preserve">participation in </w:t>
      </w:r>
      <w:r w:rsidRPr="00A841AB">
        <w:rPr>
          <w:bCs/>
          <w:color w:val="000000"/>
        </w:rPr>
        <w:t xml:space="preserve">preschool </w:t>
      </w:r>
      <w:r w:rsidR="004D2ABF">
        <w:rPr>
          <w:bCs/>
          <w:color w:val="000000"/>
        </w:rPr>
        <w:t xml:space="preserve">programs for children </w:t>
      </w:r>
      <w:r w:rsidRPr="00A841AB">
        <w:rPr>
          <w:bCs/>
          <w:color w:val="000000"/>
        </w:rPr>
        <w:t xml:space="preserve">in the year before full-time school. </w:t>
      </w:r>
      <w:r>
        <w:rPr>
          <w:color w:val="000000"/>
        </w:rPr>
        <w:t xml:space="preserve">In addition, </w:t>
      </w:r>
      <w:r w:rsidRPr="00A841AB">
        <w:rPr>
          <w:color w:val="000000"/>
        </w:rPr>
        <w:t xml:space="preserve">recent papers, evaluations or research were </w:t>
      </w:r>
      <w:r w:rsidR="004D2ABF">
        <w:rPr>
          <w:color w:val="000000"/>
        </w:rPr>
        <w:t xml:space="preserve">identified.  A smaller selection of </w:t>
      </w:r>
      <w:r w:rsidRPr="00A841AB">
        <w:rPr>
          <w:color w:val="000000"/>
        </w:rPr>
        <w:t>key documents were chosen for particular analysis.</w:t>
      </w:r>
    </w:p>
    <w:p w14:paraId="753A4172" w14:textId="77777777" w:rsidR="00D464BF" w:rsidRDefault="00D464BF" w:rsidP="00D464BF">
      <w:pPr>
        <w:ind w:left="260"/>
        <w:jc w:val="both"/>
        <w:rPr>
          <w:color w:val="000000"/>
        </w:rPr>
      </w:pPr>
    </w:p>
    <w:p w14:paraId="530C3757" w14:textId="0724E936" w:rsidR="005B02ED" w:rsidRDefault="0004044C" w:rsidP="00D464BF">
      <w:pPr>
        <w:ind w:left="260"/>
        <w:jc w:val="both"/>
        <w:rPr>
          <w:color w:val="000000"/>
        </w:rPr>
      </w:pPr>
      <w:r>
        <w:rPr>
          <w:color w:val="000000"/>
        </w:rPr>
        <w:t xml:space="preserve">The Project examined available data to determine whether it was possible to identify patterns of preschool engagement across the country. </w:t>
      </w:r>
    </w:p>
    <w:p w14:paraId="0E8C7DD6" w14:textId="77777777" w:rsidR="005B02ED" w:rsidRDefault="005B02ED" w:rsidP="00742130">
      <w:pPr>
        <w:spacing w:line="240" w:lineRule="atLeast"/>
        <w:ind w:left="284"/>
        <w:jc w:val="both"/>
        <w:rPr>
          <w:color w:val="000000"/>
        </w:rPr>
      </w:pPr>
    </w:p>
    <w:p w14:paraId="1E46E354" w14:textId="77777777" w:rsidR="005B02ED" w:rsidRDefault="00FC0BDF" w:rsidP="005B02ED">
      <w:pPr>
        <w:pStyle w:val="ListParagraph"/>
        <w:numPr>
          <w:ilvl w:val="0"/>
          <w:numId w:val="27"/>
        </w:numPr>
        <w:spacing w:line="240" w:lineRule="atLeast"/>
        <w:rPr>
          <w:color w:val="000000"/>
        </w:rPr>
      </w:pPr>
      <w:r w:rsidRPr="005B02ED">
        <w:rPr>
          <w:color w:val="000000"/>
        </w:rPr>
        <w:t xml:space="preserve">The Australian Bureau of Statistics </w:t>
      </w:r>
      <w:r w:rsidR="004D2ABF" w:rsidRPr="005B02ED">
        <w:rPr>
          <w:color w:val="000000"/>
        </w:rPr>
        <w:t xml:space="preserve">(ABS) </w:t>
      </w:r>
      <w:r w:rsidRPr="005B02ED">
        <w:rPr>
          <w:color w:val="000000"/>
        </w:rPr>
        <w:t>collects annual census data on preschool attendance</w:t>
      </w:r>
      <w:r w:rsidR="004D2ABF" w:rsidRPr="005B02ED">
        <w:rPr>
          <w:color w:val="000000"/>
        </w:rPr>
        <w:t xml:space="preserve"> (the Collection)</w:t>
      </w:r>
      <w:r w:rsidRPr="005B02ED">
        <w:rPr>
          <w:color w:val="000000"/>
        </w:rPr>
        <w:t xml:space="preserve">.  </w:t>
      </w:r>
      <w:r w:rsidR="00742130" w:rsidRPr="005B02ED">
        <w:rPr>
          <w:color w:val="000000"/>
        </w:rPr>
        <w:t>Some argue</w:t>
      </w:r>
      <w:r w:rsidRPr="005B02ED">
        <w:rPr>
          <w:color w:val="000000"/>
        </w:rPr>
        <w:t xml:space="preserve"> that th</w:t>
      </w:r>
      <w:r w:rsidR="004D2ABF" w:rsidRPr="005B02ED">
        <w:rPr>
          <w:color w:val="000000"/>
        </w:rPr>
        <w:t xml:space="preserve">e Collection </w:t>
      </w:r>
      <w:r w:rsidRPr="005B02ED">
        <w:rPr>
          <w:color w:val="000000"/>
        </w:rPr>
        <w:t xml:space="preserve">is flawed as attendance data is captured for one week during winter and extrapolated </w:t>
      </w:r>
      <w:r w:rsidR="005B02ED">
        <w:rPr>
          <w:color w:val="000000"/>
        </w:rPr>
        <w:t>for a full year of attendance.</w:t>
      </w:r>
    </w:p>
    <w:p w14:paraId="03F5ECA0" w14:textId="77777777" w:rsidR="005B02ED" w:rsidRDefault="005B02ED" w:rsidP="005B02ED">
      <w:pPr>
        <w:pStyle w:val="ListParagraph"/>
        <w:numPr>
          <w:ilvl w:val="0"/>
          <w:numId w:val="27"/>
        </w:numPr>
        <w:spacing w:line="240" w:lineRule="atLeast"/>
        <w:rPr>
          <w:color w:val="000000"/>
        </w:rPr>
      </w:pPr>
      <w:r>
        <w:rPr>
          <w:color w:val="000000"/>
        </w:rPr>
        <w:t>The P</w:t>
      </w:r>
      <w:r w:rsidR="002B5915" w:rsidRPr="005B02ED">
        <w:rPr>
          <w:color w:val="000000"/>
        </w:rPr>
        <w:t>roductivity Commission's Report of Government Services (RoGS) uses ABS Preschool Collection data to conduct analysis on preschool participation. The report calculates enrolment rates for each state for the year before full-time school (YBS), as well as reporting preschool expenditure data for governments and families. However, the analysis of preschool participation in RoGS is limited by the issues above for the ABS Collection.</w:t>
      </w:r>
      <w:r w:rsidR="00FC0BDF" w:rsidRPr="005B02ED">
        <w:rPr>
          <w:color w:val="000000"/>
        </w:rPr>
        <w:t xml:space="preserve"> </w:t>
      </w:r>
    </w:p>
    <w:p w14:paraId="663AE54B" w14:textId="1D5FEC38" w:rsidR="0004044C" w:rsidRPr="005B02ED" w:rsidRDefault="00FC0BDF" w:rsidP="005B02ED">
      <w:pPr>
        <w:pStyle w:val="ListParagraph"/>
        <w:numPr>
          <w:ilvl w:val="0"/>
          <w:numId w:val="27"/>
        </w:numPr>
        <w:spacing w:line="240" w:lineRule="atLeast"/>
        <w:rPr>
          <w:color w:val="000000"/>
        </w:rPr>
      </w:pPr>
      <w:r w:rsidRPr="005B02ED">
        <w:rPr>
          <w:color w:val="000000"/>
        </w:rPr>
        <w:t xml:space="preserve">The </w:t>
      </w:r>
      <w:r w:rsidR="0004044C" w:rsidRPr="005B02ED">
        <w:rPr>
          <w:color w:val="000000"/>
        </w:rPr>
        <w:t>A</w:t>
      </w:r>
      <w:r w:rsidR="00B0239B" w:rsidRPr="005B02ED">
        <w:rPr>
          <w:color w:val="000000"/>
        </w:rPr>
        <w:t xml:space="preserve">ustralian </w:t>
      </w:r>
      <w:r w:rsidR="0004044C" w:rsidRPr="005B02ED">
        <w:rPr>
          <w:color w:val="000000"/>
        </w:rPr>
        <w:t>E</w:t>
      </w:r>
      <w:r w:rsidR="00B0239B" w:rsidRPr="005B02ED">
        <w:rPr>
          <w:color w:val="000000"/>
        </w:rPr>
        <w:t xml:space="preserve">arly </w:t>
      </w:r>
      <w:r w:rsidR="0004044C" w:rsidRPr="005B02ED">
        <w:rPr>
          <w:color w:val="000000"/>
        </w:rPr>
        <w:t>D</w:t>
      </w:r>
      <w:r w:rsidR="00B0239B" w:rsidRPr="005B02ED">
        <w:rPr>
          <w:color w:val="000000"/>
        </w:rPr>
        <w:t xml:space="preserve">evelopment </w:t>
      </w:r>
      <w:r w:rsidR="0004044C" w:rsidRPr="005B02ED">
        <w:rPr>
          <w:color w:val="000000"/>
        </w:rPr>
        <w:t>C</w:t>
      </w:r>
      <w:r w:rsidR="00B0239B" w:rsidRPr="005B02ED">
        <w:rPr>
          <w:color w:val="000000"/>
        </w:rPr>
        <w:t>ensus (AEDC)</w:t>
      </w:r>
      <w:r w:rsidRPr="005B02ED">
        <w:rPr>
          <w:color w:val="000000"/>
        </w:rPr>
        <w:t xml:space="preserve"> reports on whether children attended preschool before commencing school, but t</w:t>
      </w:r>
      <w:r w:rsidR="007A5D71" w:rsidRPr="005B02ED">
        <w:rPr>
          <w:color w:val="000000"/>
        </w:rPr>
        <w:t xml:space="preserve">his </w:t>
      </w:r>
      <w:r w:rsidR="0004044C" w:rsidRPr="005B02ED">
        <w:rPr>
          <w:color w:val="000000"/>
        </w:rPr>
        <w:t xml:space="preserve">provides no insight into dosage </w:t>
      </w:r>
      <w:r w:rsidRPr="005B02ED">
        <w:rPr>
          <w:color w:val="000000"/>
        </w:rPr>
        <w:t xml:space="preserve">and is only collected on a three yearly cycle.  </w:t>
      </w:r>
      <w:r w:rsidR="002E5036" w:rsidRPr="005B02ED">
        <w:rPr>
          <w:color w:val="000000"/>
        </w:rPr>
        <w:t>It is also collected through teacher report</w:t>
      </w:r>
      <w:r w:rsidR="002B5915" w:rsidRPr="005B02ED">
        <w:rPr>
          <w:color w:val="000000"/>
        </w:rPr>
        <w:t>s</w:t>
      </w:r>
      <w:r w:rsidR="002E5036" w:rsidRPr="005B02ED">
        <w:rPr>
          <w:color w:val="000000"/>
        </w:rPr>
        <w:t xml:space="preserve"> rather than systematic data collection and data linkage (O’Connell et al, 2016 p 29).</w:t>
      </w:r>
    </w:p>
    <w:p w14:paraId="14539725" w14:textId="77777777" w:rsidR="00742130" w:rsidRPr="00F24791" w:rsidRDefault="00742130" w:rsidP="00742130">
      <w:pPr>
        <w:spacing w:line="240" w:lineRule="atLeast"/>
        <w:ind w:left="284"/>
        <w:jc w:val="both"/>
        <w:rPr>
          <w:color w:val="000000"/>
          <w:sz w:val="20"/>
          <w:szCs w:val="20"/>
        </w:rPr>
      </w:pPr>
    </w:p>
    <w:p w14:paraId="4A0E7639" w14:textId="32CCFEE9" w:rsidR="00D464BF" w:rsidRPr="00D464BF" w:rsidRDefault="00FC0BDF" w:rsidP="00D464BF">
      <w:pPr>
        <w:spacing w:line="240" w:lineRule="atLeast"/>
        <w:ind w:left="284"/>
        <w:jc w:val="both"/>
        <w:rPr>
          <w:color w:val="000000"/>
        </w:rPr>
      </w:pPr>
      <w:r>
        <w:rPr>
          <w:color w:val="000000"/>
        </w:rPr>
        <w:t xml:space="preserve">As accurate data was considered an important input to the </w:t>
      </w:r>
      <w:r w:rsidR="004D2ABF">
        <w:rPr>
          <w:color w:val="000000"/>
        </w:rPr>
        <w:t>Project</w:t>
      </w:r>
      <w:r>
        <w:rPr>
          <w:color w:val="000000"/>
        </w:rPr>
        <w:t xml:space="preserve">, jurisdictions were invited to provide any additional available data to help the </w:t>
      </w:r>
      <w:r w:rsidR="004D2ABF">
        <w:rPr>
          <w:color w:val="000000"/>
        </w:rPr>
        <w:t>Project</w:t>
      </w:r>
      <w:r>
        <w:rPr>
          <w:color w:val="000000"/>
        </w:rPr>
        <w:t xml:space="preserve"> identify the location and scale of the concern regarding preschool </w:t>
      </w:r>
      <w:r w:rsidR="0004044C">
        <w:rPr>
          <w:color w:val="000000"/>
        </w:rPr>
        <w:t xml:space="preserve">enrolment and </w:t>
      </w:r>
      <w:r>
        <w:rPr>
          <w:color w:val="000000"/>
        </w:rPr>
        <w:t xml:space="preserve">attendance.  Few jurisdictions were able to provide any data not already in the public domain, and only one jurisdiction provided data that could be referenced in any way.  </w:t>
      </w:r>
      <w:r w:rsidR="0004044C">
        <w:rPr>
          <w:color w:val="000000"/>
        </w:rPr>
        <w:t xml:space="preserve">It is clear that the </w:t>
      </w:r>
      <w:r>
        <w:rPr>
          <w:color w:val="000000"/>
        </w:rPr>
        <w:t>publicly available sources mentioned above</w:t>
      </w:r>
      <w:r w:rsidR="0004044C">
        <w:rPr>
          <w:color w:val="000000"/>
        </w:rPr>
        <w:t xml:space="preserve"> are the best </w:t>
      </w:r>
      <w:r w:rsidR="00B0239B">
        <w:rPr>
          <w:color w:val="000000"/>
        </w:rPr>
        <w:t xml:space="preserve">national </w:t>
      </w:r>
      <w:r w:rsidR="0004044C">
        <w:rPr>
          <w:color w:val="000000"/>
        </w:rPr>
        <w:t>data currently available</w:t>
      </w:r>
      <w:r w:rsidR="00D464BF">
        <w:rPr>
          <w:color w:val="000000"/>
        </w:rPr>
        <w:t>.</w:t>
      </w:r>
    </w:p>
    <w:p w14:paraId="559D098C" w14:textId="77777777" w:rsidR="00D464BF" w:rsidRDefault="00D464BF" w:rsidP="00742130">
      <w:pPr>
        <w:spacing w:line="240" w:lineRule="atLeast"/>
        <w:ind w:left="284"/>
        <w:jc w:val="both"/>
        <w:rPr>
          <w:color w:val="000000"/>
        </w:rPr>
      </w:pPr>
    </w:p>
    <w:p w14:paraId="3AA0AA36" w14:textId="77777777" w:rsidR="00D464BF" w:rsidRDefault="00FC0BDF" w:rsidP="00D464BF">
      <w:pPr>
        <w:spacing w:line="240" w:lineRule="atLeast"/>
        <w:ind w:left="284"/>
        <w:jc w:val="both"/>
        <w:rPr>
          <w:color w:val="000000"/>
        </w:rPr>
      </w:pPr>
      <w:r>
        <w:rPr>
          <w:color w:val="000000"/>
        </w:rPr>
        <w:t>Although attendance data is limited, the best available data still provide</w:t>
      </w:r>
      <w:r w:rsidR="00826CA8">
        <w:rPr>
          <w:color w:val="000000"/>
        </w:rPr>
        <w:t>s</w:t>
      </w:r>
      <w:r>
        <w:rPr>
          <w:color w:val="000000"/>
        </w:rPr>
        <w:t xml:space="preserve"> an indication of attendance.  The </w:t>
      </w:r>
      <w:r w:rsidR="004D2ABF">
        <w:rPr>
          <w:color w:val="000000"/>
        </w:rPr>
        <w:t>Project</w:t>
      </w:r>
      <w:r>
        <w:rPr>
          <w:color w:val="000000"/>
        </w:rPr>
        <w:t xml:space="preserve"> acknowledges this limitation, recognising that research and policy will continue to rely on th</w:t>
      </w:r>
      <w:r w:rsidR="00CE17B9">
        <w:rPr>
          <w:color w:val="000000"/>
        </w:rPr>
        <w:t xml:space="preserve">is until better sources </w:t>
      </w:r>
      <w:r>
        <w:rPr>
          <w:color w:val="000000"/>
        </w:rPr>
        <w:t>are available.</w:t>
      </w:r>
    </w:p>
    <w:p w14:paraId="1104B67F" w14:textId="77777777" w:rsidR="00D464BF" w:rsidRDefault="00D464BF" w:rsidP="00D464BF">
      <w:pPr>
        <w:spacing w:line="240" w:lineRule="atLeast"/>
        <w:ind w:left="284"/>
        <w:jc w:val="both"/>
      </w:pPr>
    </w:p>
    <w:p w14:paraId="0F2F4455" w14:textId="582F9E25" w:rsidR="00433B94" w:rsidRPr="00D464BF" w:rsidRDefault="00433B94" w:rsidP="00D464BF">
      <w:pPr>
        <w:pStyle w:val="Heading2"/>
        <w:ind w:left="260"/>
        <w:rPr>
          <w:color w:val="000000"/>
        </w:rPr>
      </w:pPr>
      <w:bookmarkStart w:id="5" w:name="_Toc75168389"/>
      <w:r w:rsidRPr="00D464BF">
        <w:t>Report Structure</w:t>
      </w:r>
      <w:bookmarkEnd w:id="5"/>
    </w:p>
    <w:p w14:paraId="61D86C5C" w14:textId="3B1A51E5" w:rsidR="0098332C" w:rsidRPr="000609D2" w:rsidRDefault="00433B94" w:rsidP="00D464BF">
      <w:pPr>
        <w:ind w:left="260"/>
        <w:rPr>
          <w:color w:val="000000"/>
        </w:rPr>
        <w:sectPr w:rsidR="0098332C" w:rsidRPr="000609D2" w:rsidSect="00570713">
          <w:headerReference w:type="default" r:id="rId16"/>
          <w:footerReference w:type="default" r:id="rId17"/>
          <w:pgSz w:w="11910" w:h="16840"/>
          <w:pgMar w:top="1700" w:right="1220" w:bottom="920" w:left="1180" w:header="567" w:footer="382" w:gutter="0"/>
          <w:cols w:space="720"/>
        </w:sectPr>
      </w:pPr>
      <w:r w:rsidRPr="000609D2">
        <w:rPr>
          <w:color w:val="000000"/>
        </w:rPr>
        <w:t>Part 1 of this report</w:t>
      </w:r>
      <w:r w:rsidR="00D56DE8" w:rsidRPr="000609D2">
        <w:rPr>
          <w:color w:val="000000"/>
        </w:rPr>
        <w:t xml:space="preserve"> sets out the context for the Project</w:t>
      </w:r>
      <w:r w:rsidR="000609D2" w:rsidRPr="000609D2">
        <w:rPr>
          <w:color w:val="000000"/>
        </w:rPr>
        <w:t>, describing preschool benefits, and the way the literature des</w:t>
      </w:r>
      <w:r w:rsidR="00D464BF">
        <w:rPr>
          <w:color w:val="000000"/>
        </w:rPr>
        <w:t xml:space="preserve">cribes barriers to preschool. </w:t>
      </w:r>
      <w:r w:rsidR="000609D2" w:rsidRPr="000609D2">
        <w:rPr>
          <w:color w:val="000000"/>
        </w:rPr>
        <w:t>In Part 2 we explore the policy context for preschool in Austra</w:t>
      </w:r>
      <w:r w:rsidR="00A94468">
        <w:rPr>
          <w:color w:val="000000"/>
        </w:rPr>
        <w:t>lia</w:t>
      </w:r>
      <w:r w:rsidR="002B5915">
        <w:rPr>
          <w:color w:val="000000"/>
        </w:rPr>
        <w:t>, drilling down to what</w:t>
      </w:r>
      <w:r w:rsidR="000609D2" w:rsidRPr="000609D2">
        <w:rPr>
          <w:color w:val="000000"/>
        </w:rPr>
        <w:t xml:space="preserve"> each jurisdiction has put in place to </w:t>
      </w:r>
      <w:r w:rsidR="00BD38AC" w:rsidRPr="000609D2">
        <w:rPr>
          <w:color w:val="000000"/>
        </w:rPr>
        <w:t>support preschool</w:t>
      </w:r>
      <w:r w:rsidR="000609D2" w:rsidRPr="000609D2">
        <w:rPr>
          <w:color w:val="000000"/>
        </w:rPr>
        <w:t xml:space="preserve"> participation.  The challenges to understanding children’s participation and what works are discussed in Part 4 along with the report’s </w:t>
      </w:r>
      <w:r w:rsidR="000609D2">
        <w:rPr>
          <w:color w:val="000000"/>
        </w:rPr>
        <w:t>key findings</w:t>
      </w:r>
      <w:r w:rsidR="000609D2" w:rsidRPr="000609D2">
        <w:rPr>
          <w:color w:val="000000"/>
        </w:rPr>
        <w:t>.</w:t>
      </w:r>
    </w:p>
    <w:p w14:paraId="46C1FE22" w14:textId="77777777" w:rsidR="0098332C" w:rsidRDefault="0098332C">
      <w:pPr>
        <w:pStyle w:val="BodyText"/>
        <w:rPr>
          <w:sz w:val="20"/>
        </w:rPr>
      </w:pPr>
    </w:p>
    <w:p w14:paraId="0523996B" w14:textId="77777777" w:rsidR="00D464BF" w:rsidRDefault="002C2810" w:rsidP="00D464BF">
      <w:pPr>
        <w:pStyle w:val="Heading1"/>
        <w:spacing w:before="242"/>
        <w:ind w:left="0" w:firstLine="260"/>
        <w:rPr>
          <w:color w:val="001F5F"/>
        </w:rPr>
      </w:pPr>
      <w:bookmarkStart w:id="6" w:name="_Toc75168390"/>
      <w:r>
        <w:rPr>
          <w:color w:val="001F5F"/>
        </w:rPr>
        <w:t>Part 1: Preschool Participation</w:t>
      </w:r>
      <w:r w:rsidR="000609D2">
        <w:rPr>
          <w:color w:val="001F5F"/>
        </w:rPr>
        <w:t xml:space="preserve"> Context</w:t>
      </w:r>
      <w:bookmarkStart w:id="7" w:name="_Toc27585796"/>
      <w:bookmarkStart w:id="8" w:name="_Toc27588211"/>
      <w:bookmarkEnd w:id="6"/>
    </w:p>
    <w:p w14:paraId="5847B4E2" w14:textId="77777777" w:rsidR="00D464BF" w:rsidRDefault="00D464BF" w:rsidP="00D464BF">
      <w:pPr>
        <w:pStyle w:val="Heading2"/>
        <w:ind w:left="260"/>
      </w:pPr>
    </w:p>
    <w:p w14:paraId="6130BA6E" w14:textId="1C529872" w:rsidR="0098332C" w:rsidRPr="00D464BF" w:rsidRDefault="002C2810" w:rsidP="00D464BF">
      <w:pPr>
        <w:pStyle w:val="Heading2"/>
        <w:ind w:left="260"/>
        <w:rPr>
          <w:color w:val="001F5F"/>
        </w:rPr>
      </w:pPr>
      <w:bookmarkStart w:id="9" w:name="_Toc75168391"/>
      <w:r w:rsidRPr="00D464BF">
        <w:t>Children’s development in the first year of school</w:t>
      </w:r>
      <w:bookmarkEnd w:id="7"/>
      <w:bookmarkEnd w:id="8"/>
      <w:bookmarkEnd w:id="9"/>
    </w:p>
    <w:p w14:paraId="622A256C" w14:textId="5AB3F2C1" w:rsidR="0098332C" w:rsidRDefault="002C2810" w:rsidP="00685FCF">
      <w:pPr>
        <w:pStyle w:val="BodyText"/>
        <w:spacing w:line="197" w:lineRule="exact"/>
        <w:ind w:left="260" w:right="240"/>
        <w:jc w:val="both"/>
      </w:pPr>
      <w:r>
        <w:t xml:space="preserve">The Australian Early Development Census </w:t>
      </w:r>
      <w:r w:rsidR="002E5036">
        <w:t xml:space="preserve">(AEDC) </w:t>
      </w:r>
      <w:r>
        <w:t>provides a national indicator on children in their</w:t>
      </w:r>
      <w:r w:rsidR="005F6D5A">
        <w:t xml:space="preserve"> </w:t>
      </w:r>
      <w:r>
        <w:t>first year of school across five developmental domains</w:t>
      </w:r>
      <w:r w:rsidR="00754591">
        <w:rPr>
          <w:rStyle w:val="FootnoteReference"/>
        </w:rPr>
        <w:footnoteReference w:id="4"/>
      </w:r>
      <w:r>
        <w:t>, offering insights on the cumulative impact of a range of factors on a child’s development, including access to preschool learning.</w:t>
      </w:r>
    </w:p>
    <w:p w14:paraId="05EA877D" w14:textId="77777777" w:rsidR="0098332C" w:rsidRDefault="0098332C">
      <w:pPr>
        <w:pStyle w:val="BodyText"/>
        <w:spacing w:before="9"/>
        <w:rPr>
          <w:sz w:val="21"/>
        </w:rPr>
      </w:pPr>
    </w:p>
    <w:p w14:paraId="115C856E" w14:textId="77777777" w:rsidR="0098332C" w:rsidRDefault="002C2810">
      <w:pPr>
        <w:pStyle w:val="BodyText"/>
        <w:ind w:left="260" w:right="217"/>
        <w:jc w:val="both"/>
      </w:pPr>
      <w:r>
        <w:t>As shown in Table 1, a significant proportion (21.7 percent) of all Australian children are vulnerable in one or more of the AEDC domains. Higher proportions of Aboriginal and Torres Strait Islander children (41.3 percent) and those living in Australia’s most disadvantaged communities (32.3 percent) are developmentally vulnerable in their first year of school.</w:t>
      </w:r>
    </w:p>
    <w:p w14:paraId="25777739" w14:textId="77777777" w:rsidR="0098332C" w:rsidRDefault="0098332C">
      <w:pPr>
        <w:pStyle w:val="BodyText"/>
      </w:pPr>
    </w:p>
    <w:p w14:paraId="73258A43" w14:textId="77777777" w:rsidR="0098332C" w:rsidRDefault="002C2810">
      <w:pPr>
        <w:ind w:left="260"/>
        <w:jc w:val="both"/>
        <w:rPr>
          <w:b/>
          <w:sz w:val="20"/>
        </w:rPr>
      </w:pPr>
      <w:r w:rsidRPr="0004044C">
        <w:rPr>
          <w:b/>
          <w:color w:val="001F5F"/>
          <w:sz w:val="20"/>
        </w:rPr>
        <w:t>T</w:t>
      </w:r>
      <w:r>
        <w:rPr>
          <w:b/>
          <w:color w:val="001F5F"/>
          <w:sz w:val="20"/>
        </w:rPr>
        <w:t>able 1: Proportion of children vulnerable on 1 or more domains on the AEDC, 2018</w:t>
      </w:r>
    </w:p>
    <w:p w14:paraId="02363444" w14:textId="77777777" w:rsidR="0098332C" w:rsidRDefault="0098332C">
      <w:pPr>
        <w:pStyle w:val="BodyText"/>
        <w:spacing w:before="2"/>
        <w:rPr>
          <w:b/>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2127"/>
        <w:gridCol w:w="2091"/>
        <w:gridCol w:w="2254"/>
      </w:tblGrid>
      <w:tr w:rsidR="0098332C" w14:paraId="1ED1461E" w14:textId="77777777">
        <w:trPr>
          <w:trHeight w:val="1151"/>
        </w:trPr>
        <w:tc>
          <w:tcPr>
            <w:tcW w:w="2546" w:type="dxa"/>
          </w:tcPr>
          <w:p w14:paraId="747FB4FF" w14:textId="77777777" w:rsidR="0098332C" w:rsidRDefault="0098332C">
            <w:pPr>
              <w:pStyle w:val="TableParagraph"/>
              <w:ind w:left="0"/>
              <w:rPr>
                <w:rFonts w:ascii="Times New Roman"/>
                <w:sz w:val="20"/>
              </w:rPr>
            </w:pPr>
          </w:p>
        </w:tc>
        <w:tc>
          <w:tcPr>
            <w:tcW w:w="2127" w:type="dxa"/>
          </w:tcPr>
          <w:p w14:paraId="624F7F7E" w14:textId="77777777" w:rsidR="0098332C" w:rsidRDefault="002C2810">
            <w:pPr>
              <w:pStyle w:val="TableParagraph"/>
              <w:ind w:left="675" w:hanging="255"/>
              <w:rPr>
                <w:b/>
                <w:sz w:val="20"/>
              </w:rPr>
            </w:pPr>
            <w:r>
              <w:rPr>
                <w:b/>
                <w:sz w:val="20"/>
              </w:rPr>
              <w:t>All Australian children</w:t>
            </w:r>
          </w:p>
        </w:tc>
        <w:tc>
          <w:tcPr>
            <w:tcW w:w="2091" w:type="dxa"/>
          </w:tcPr>
          <w:p w14:paraId="1EDAE210" w14:textId="77777777" w:rsidR="0098332C" w:rsidRDefault="002C2810">
            <w:pPr>
              <w:pStyle w:val="TableParagraph"/>
              <w:ind w:left="242" w:right="238" w:firstLine="1"/>
              <w:jc w:val="center"/>
              <w:rPr>
                <w:b/>
                <w:sz w:val="20"/>
              </w:rPr>
            </w:pPr>
            <w:r>
              <w:rPr>
                <w:b/>
                <w:sz w:val="20"/>
              </w:rPr>
              <w:t>Aboriginal and Torres Strait Islander children</w:t>
            </w:r>
          </w:p>
        </w:tc>
        <w:tc>
          <w:tcPr>
            <w:tcW w:w="2254" w:type="dxa"/>
          </w:tcPr>
          <w:p w14:paraId="4E1F38C2" w14:textId="02AD550C" w:rsidR="0098332C" w:rsidRDefault="002C2810">
            <w:pPr>
              <w:pStyle w:val="TableParagraph"/>
              <w:spacing w:line="230" w:lineRule="exact"/>
              <w:ind w:left="293" w:right="287"/>
              <w:jc w:val="center"/>
              <w:rPr>
                <w:b/>
                <w:sz w:val="20"/>
              </w:rPr>
            </w:pPr>
            <w:r>
              <w:rPr>
                <w:b/>
                <w:sz w:val="20"/>
              </w:rPr>
              <w:t>Children living in Australia’s most disadvantaged communities (Quintile</w:t>
            </w:r>
            <w:r w:rsidR="00004EBC">
              <w:rPr>
                <w:b/>
                <w:sz w:val="20"/>
              </w:rPr>
              <w:t xml:space="preserve"> </w:t>
            </w:r>
            <w:r>
              <w:rPr>
                <w:b/>
                <w:sz w:val="20"/>
              </w:rPr>
              <w:t>1)</w:t>
            </w:r>
          </w:p>
        </w:tc>
      </w:tr>
      <w:tr w:rsidR="0098332C" w14:paraId="49CB87DD" w14:textId="77777777">
        <w:trPr>
          <w:trHeight w:val="688"/>
        </w:trPr>
        <w:tc>
          <w:tcPr>
            <w:tcW w:w="2546" w:type="dxa"/>
          </w:tcPr>
          <w:p w14:paraId="5D7BA5FE" w14:textId="77777777" w:rsidR="0098332C" w:rsidRDefault="002C2810">
            <w:pPr>
              <w:pStyle w:val="TableParagraph"/>
              <w:tabs>
                <w:tab w:val="left" w:pos="1433"/>
              </w:tabs>
              <w:spacing w:line="237" w:lineRule="auto"/>
              <w:ind w:right="99"/>
              <w:rPr>
                <w:b/>
                <w:sz w:val="20"/>
              </w:rPr>
            </w:pPr>
            <w:r>
              <w:rPr>
                <w:b/>
                <w:sz w:val="20"/>
              </w:rPr>
              <w:t>Percentage</w:t>
            </w:r>
            <w:r>
              <w:rPr>
                <w:b/>
                <w:sz w:val="20"/>
              </w:rPr>
              <w:tab/>
            </w:r>
            <w:r>
              <w:rPr>
                <w:b/>
                <w:w w:val="95"/>
                <w:sz w:val="20"/>
              </w:rPr>
              <w:t xml:space="preserve">vulnerable </w:t>
            </w:r>
            <w:r>
              <w:rPr>
                <w:b/>
                <w:sz w:val="20"/>
              </w:rPr>
              <w:t>in</w:t>
            </w:r>
            <w:r>
              <w:rPr>
                <w:b/>
                <w:spacing w:val="12"/>
                <w:sz w:val="20"/>
              </w:rPr>
              <w:t xml:space="preserve"> </w:t>
            </w:r>
            <w:r>
              <w:rPr>
                <w:b/>
                <w:sz w:val="20"/>
              </w:rPr>
              <w:t>1</w:t>
            </w:r>
            <w:r>
              <w:rPr>
                <w:b/>
                <w:spacing w:val="12"/>
                <w:sz w:val="20"/>
              </w:rPr>
              <w:t xml:space="preserve"> </w:t>
            </w:r>
            <w:r>
              <w:rPr>
                <w:b/>
                <w:sz w:val="20"/>
              </w:rPr>
              <w:t>or</w:t>
            </w:r>
            <w:r>
              <w:rPr>
                <w:b/>
                <w:spacing w:val="14"/>
                <w:sz w:val="20"/>
              </w:rPr>
              <w:t xml:space="preserve"> </w:t>
            </w:r>
            <w:r>
              <w:rPr>
                <w:b/>
                <w:sz w:val="20"/>
              </w:rPr>
              <w:t>more</w:t>
            </w:r>
            <w:r>
              <w:rPr>
                <w:b/>
                <w:spacing w:val="14"/>
                <w:sz w:val="20"/>
              </w:rPr>
              <w:t xml:space="preserve"> </w:t>
            </w:r>
            <w:r>
              <w:rPr>
                <w:b/>
                <w:sz w:val="20"/>
              </w:rPr>
              <w:t>of</w:t>
            </w:r>
            <w:r>
              <w:rPr>
                <w:b/>
                <w:spacing w:val="13"/>
                <w:sz w:val="20"/>
              </w:rPr>
              <w:t xml:space="preserve"> </w:t>
            </w:r>
            <w:r>
              <w:rPr>
                <w:b/>
                <w:sz w:val="20"/>
              </w:rPr>
              <w:t>the</w:t>
            </w:r>
            <w:r>
              <w:rPr>
                <w:b/>
                <w:spacing w:val="12"/>
                <w:sz w:val="20"/>
              </w:rPr>
              <w:t xml:space="preserve"> </w:t>
            </w:r>
            <w:r>
              <w:rPr>
                <w:b/>
                <w:spacing w:val="-12"/>
                <w:sz w:val="20"/>
              </w:rPr>
              <w:t>5</w:t>
            </w:r>
          </w:p>
          <w:p w14:paraId="6B9BEAD8" w14:textId="77777777" w:rsidR="0098332C" w:rsidRDefault="002C2810">
            <w:pPr>
              <w:pStyle w:val="TableParagraph"/>
              <w:spacing w:line="213" w:lineRule="exact"/>
              <w:rPr>
                <w:b/>
                <w:sz w:val="20"/>
              </w:rPr>
            </w:pPr>
            <w:r>
              <w:rPr>
                <w:b/>
                <w:sz w:val="20"/>
              </w:rPr>
              <w:t>AEDC domains</w:t>
            </w:r>
          </w:p>
        </w:tc>
        <w:tc>
          <w:tcPr>
            <w:tcW w:w="2127" w:type="dxa"/>
          </w:tcPr>
          <w:p w14:paraId="578D5E0C" w14:textId="77777777" w:rsidR="0098332C" w:rsidRDefault="002C2810">
            <w:pPr>
              <w:pStyle w:val="TableParagraph"/>
              <w:spacing w:line="229" w:lineRule="exact"/>
              <w:ind w:left="847" w:right="839"/>
              <w:jc w:val="center"/>
              <w:rPr>
                <w:sz w:val="20"/>
              </w:rPr>
            </w:pPr>
            <w:r>
              <w:rPr>
                <w:sz w:val="20"/>
              </w:rPr>
              <w:t>21.7</w:t>
            </w:r>
          </w:p>
        </w:tc>
        <w:tc>
          <w:tcPr>
            <w:tcW w:w="2091" w:type="dxa"/>
          </w:tcPr>
          <w:p w14:paraId="655DDCAE" w14:textId="77777777" w:rsidR="0098332C" w:rsidRDefault="002C2810">
            <w:pPr>
              <w:pStyle w:val="TableParagraph"/>
              <w:spacing w:line="229" w:lineRule="exact"/>
              <w:ind w:left="0" w:right="842"/>
              <w:jc w:val="right"/>
              <w:rPr>
                <w:sz w:val="20"/>
              </w:rPr>
            </w:pPr>
            <w:r>
              <w:rPr>
                <w:w w:val="95"/>
                <w:sz w:val="20"/>
              </w:rPr>
              <w:t>41.3</w:t>
            </w:r>
          </w:p>
        </w:tc>
        <w:tc>
          <w:tcPr>
            <w:tcW w:w="2254" w:type="dxa"/>
          </w:tcPr>
          <w:p w14:paraId="5CE7F5BF" w14:textId="77777777" w:rsidR="0098332C" w:rsidRDefault="002C2810">
            <w:pPr>
              <w:pStyle w:val="TableParagraph"/>
              <w:spacing w:line="229" w:lineRule="exact"/>
              <w:ind w:left="0" w:right="927"/>
              <w:jc w:val="right"/>
              <w:rPr>
                <w:sz w:val="20"/>
              </w:rPr>
            </w:pPr>
            <w:r>
              <w:rPr>
                <w:w w:val="95"/>
                <w:sz w:val="20"/>
              </w:rPr>
              <w:t>32.3</w:t>
            </w:r>
          </w:p>
        </w:tc>
      </w:tr>
      <w:tr w:rsidR="0098332C" w14:paraId="629E45AC" w14:textId="77777777">
        <w:trPr>
          <w:trHeight w:val="690"/>
        </w:trPr>
        <w:tc>
          <w:tcPr>
            <w:tcW w:w="2546" w:type="dxa"/>
          </w:tcPr>
          <w:p w14:paraId="2027FD35" w14:textId="77777777" w:rsidR="0098332C" w:rsidRDefault="002C2810">
            <w:pPr>
              <w:pStyle w:val="TableParagraph"/>
              <w:spacing w:line="230" w:lineRule="exact"/>
              <w:ind w:right="99"/>
              <w:jc w:val="both"/>
              <w:rPr>
                <w:b/>
                <w:sz w:val="20"/>
              </w:rPr>
            </w:pPr>
            <w:r>
              <w:rPr>
                <w:b/>
                <w:sz w:val="20"/>
              </w:rPr>
              <w:t xml:space="preserve">Percentage vulnerable in 2 or more of the </w:t>
            </w:r>
            <w:r>
              <w:rPr>
                <w:b/>
                <w:spacing w:val="-12"/>
                <w:sz w:val="20"/>
              </w:rPr>
              <w:t xml:space="preserve">5 </w:t>
            </w:r>
            <w:r>
              <w:rPr>
                <w:b/>
                <w:sz w:val="20"/>
              </w:rPr>
              <w:t>AEDC</w:t>
            </w:r>
            <w:r>
              <w:rPr>
                <w:b/>
                <w:spacing w:val="-2"/>
                <w:sz w:val="20"/>
              </w:rPr>
              <w:t xml:space="preserve"> </w:t>
            </w:r>
            <w:r>
              <w:rPr>
                <w:b/>
                <w:sz w:val="20"/>
              </w:rPr>
              <w:t>domains</w:t>
            </w:r>
          </w:p>
        </w:tc>
        <w:tc>
          <w:tcPr>
            <w:tcW w:w="2127" w:type="dxa"/>
          </w:tcPr>
          <w:p w14:paraId="39299E84" w14:textId="77777777" w:rsidR="0098332C" w:rsidRDefault="002C2810">
            <w:pPr>
              <w:pStyle w:val="TableParagraph"/>
              <w:spacing w:line="229" w:lineRule="exact"/>
              <w:ind w:left="847" w:right="839"/>
              <w:jc w:val="center"/>
              <w:rPr>
                <w:sz w:val="20"/>
              </w:rPr>
            </w:pPr>
            <w:r>
              <w:rPr>
                <w:sz w:val="20"/>
              </w:rPr>
              <w:t>11.0</w:t>
            </w:r>
          </w:p>
        </w:tc>
        <w:tc>
          <w:tcPr>
            <w:tcW w:w="2091" w:type="dxa"/>
          </w:tcPr>
          <w:p w14:paraId="0CB2F3A4" w14:textId="77777777" w:rsidR="0098332C" w:rsidRDefault="002C2810">
            <w:pPr>
              <w:pStyle w:val="TableParagraph"/>
              <w:spacing w:line="229" w:lineRule="exact"/>
              <w:ind w:left="0" w:right="842"/>
              <w:jc w:val="right"/>
              <w:rPr>
                <w:sz w:val="20"/>
              </w:rPr>
            </w:pPr>
            <w:r>
              <w:rPr>
                <w:w w:val="95"/>
                <w:sz w:val="20"/>
              </w:rPr>
              <w:t>25.8</w:t>
            </w:r>
          </w:p>
        </w:tc>
        <w:tc>
          <w:tcPr>
            <w:tcW w:w="2254" w:type="dxa"/>
          </w:tcPr>
          <w:p w14:paraId="48398B35" w14:textId="77777777" w:rsidR="0098332C" w:rsidRDefault="002C2810">
            <w:pPr>
              <w:pStyle w:val="TableParagraph"/>
              <w:spacing w:line="229" w:lineRule="exact"/>
              <w:ind w:left="0" w:right="927"/>
              <w:jc w:val="right"/>
              <w:rPr>
                <w:sz w:val="20"/>
              </w:rPr>
            </w:pPr>
            <w:r>
              <w:rPr>
                <w:w w:val="95"/>
                <w:sz w:val="20"/>
              </w:rPr>
              <w:t>18.5</w:t>
            </w:r>
          </w:p>
        </w:tc>
      </w:tr>
    </w:tbl>
    <w:p w14:paraId="6CE3B405" w14:textId="63794040" w:rsidR="0098332C" w:rsidRDefault="002C2810">
      <w:pPr>
        <w:ind w:left="260"/>
        <w:jc w:val="both"/>
        <w:rPr>
          <w:sz w:val="18"/>
        </w:rPr>
      </w:pPr>
      <w:r>
        <w:rPr>
          <w:sz w:val="18"/>
        </w:rPr>
        <w:t xml:space="preserve">Source: Australian Government, </w:t>
      </w:r>
      <w:r w:rsidR="00B2681A">
        <w:rPr>
          <w:sz w:val="18"/>
        </w:rPr>
        <w:t>201</w:t>
      </w:r>
      <w:r w:rsidR="002E5036">
        <w:rPr>
          <w:sz w:val="18"/>
        </w:rPr>
        <w:t>9a</w:t>
      </w:r>
    </w:p>
    <w:p w14:paraId="767E0A2A" w14:textId="77777777" w:rsidR="0098332C" w:rsidRDefault="0098332C">
      <w:pPr>
        <w:pStyle w:val="BodyText"/>
        <w:spacing w:before="11"/>
        <w:rPr>
          <w:sz w:val="21"/>
        </w:rPr>
      </w:pPr>
    </w:p>
    <w:p w14:paraId="5C58F241" w14:textId="64198C91" w:rsidR="0098332C" w:rsidRDefault="002C2810">
      <w:pPr>
        <w:pStyle w:val="BodyText"/>
        <w:ind w:left="260" w:right="211"/>
        <w:jc w:val="both"/>
      </w:pPr>
      <w:r>
        <w:t>Children’s ability at school entry has been shown to influence their academic trajectories through school (Brinkman et al, 2013). The AEDC domains</w:t>
      </w:r>
      <w:r w:rsidR="001C16A1">
        <w:t xml:space="preserve"> have been shown </w:t>
      </w:r>
      <w:r w:rsidR="00565472">
        <w:t>to predict</w:t>
      </w:r>
      <w:r>
        <w:t xml:space="preserve"> children’s later literacy and numeracy outcomes as measured by</w:t>
      </w:r>
      <w:r w:rsidR="00A303CB">
        <w:t xml:space="preserve"> NAPLAN in Years 3, 5 and 7 (Australian Government, </w:t>
      </w:r>
      <w:r>
        <w:t>2015</w:t>
      </w:r>
      <w:r w:rsidR="00A303CB">
        <w:t>a</w:t>
      </w:r>
      <w:r>
        <w:t>). Children who were vulnerable in one or more of the domains at age five, were mor</w:t>
      </w:r>
      <w:r w:rsidR="002E5036">
        <w:t>e likely to be in the bottom 20 percent</w:t>
      </w:r>
      <w:r>
        <w:t xml:space="preserve"> of all students’ scores on NAPLAN assessments in Years 3, 5 and 7, than children who were not vulnerable on any AEDC domain. Longitudinal analysis shows that a child’s development when they enter school has a strong and persistent relationship to how well they continue through primary sch</w:t>
      </w:r>
      <w:r w:rsidR="00754FC5">
        <w:t>ool (AIHW, 2015</w:t>
      </w:r>
      <w:r>
        <w:t>). This reinforces the longer term importance of children’s level of development as they start school.</w:t>
      </w:r>
    </w:p>
    <w:p w14:paraId="5B529156" w14:textId="77777777" w:rsidR="0098332C" w:rsidRDefault="0098332C">
      <w:pPr>
        <w:pStyle w:val="BodyText"/>
        <w:spacing w:before="9"/>
        <w:rPr>
          <w:sz w:val="21"/>
        </w:rPr>
      </w:pPr>
    </w:p>
    <w:p w14:paraId="099E7566" w14:textId="7B2C9421" w:rsidR="0098332C" w:rsidRDefault="002C2810" w:rsidP="00D464BF">
      <w:pPr>
        <w:pStyle w:val="Heading3"/>
        <w:ind w:left="260"/>
      </w:pPr>
      <w:bookmarkStart w:id="10" w:name="_Toc27585797"/>
      <w:bookmarkStart w:id="11" w:name="_Toc27588212"/>
      <w:bookmarkStart w:id="12" w:name="_Toc75168392"/>
      <w:r>
        <w:rPr>
          <w:color w:val="001F5F"/>
        </w:rPr>
        <w:t>The benefits of preschool</w:t>
      </w:r>
      <w:bookmarkEnd w:id="10"/>
      <w:bookmarkEnd w:id="11"/>
      <w:bookmarkEnd w:id="12"/>
    </w:p>
    <w:p w14:paraId="43D5351A" w14:textId="3E4CC9D4" w:rsidR="00754591" w:rsidRDefault="002C2810" w:rsidP="00D464BF">
      <w:pPr>
        <w:pStyle w:val="BodyText"/>
        <w:spacing w:before="1"/>
        <w:ind w:left="260" w:right="214"/>
        <w:jc w:val="both"/>
      </w:pPr>
      <w:r>
        <w:t>It is widely recognised that participation in high quality ea</w:t>
      </w:r>
      <w:r w:rsidR="00B0239B">
        <w:t>rly childhood education</w:t>
      </w:r>
      <w:r>
        <w:t xml:space="preserve"> (ECE), including preschool, is beneficial to all children (AIHW, 2015). A range of research also indicates that children from disadvantaged backgrounds particularly benefit from such participation, through the promotion of early learning and reduced vulnerability (AIHW, 2015; Heckman, 2008; and Harrison et al 2012; all cited in O’Connell et al, 2016).</w:t>
      </w:r>
      <w:bookmarkStart w:id="13" w:name="_Toc27585798"/>
      <w:bookmarkStart w:id="14" w:name="_Toc27588213"/>
    </w:p>
    <w:p w14:paraId="5640FC01" w14:textId="2BF643EF" w:rsidR="00D464BF" w:rsidRDefault="00D464BF">
      <w:r>
        <w:br w:type="page"/>
      </w:r>
    </w:p>
    <w:p w14:paraId="2198E02C" w14:textId="77777777" w:rsidR="00D464BF" w:rsidRPr="00D464BF" w:rsidRDefault="00D464BF" w:rsidP="00D464BF">
      <w:pPr>
        <w:pStyle w:val="BodyText"/>
        <w:spacing w:before="1"/>
        <w:ind w:left="260" w:right="214"/>
        <w:jc w:val="both"/>
      </w:pPr>
    </w:p>
    <w:p w14:paraId="6F996894" w14:textId="77777777" w:rsidR="00285F17" w:rsidRDefault="00285F17">
      <w:pPr>
        <w:pStyle w:val="Heading3"/>
        <w:spacing w:before="93"/>
        <w:jc w:val="left"/>
        <w:rPr>
          <w:color w:val="001F5F"/>
        </w:rPr>
      </w:pPr>
    </w:p>
    <w:p w14:paraId="70FE8AF5" w14:textId="57F63792" w:rsidR="0098332C" w:rsidRDefault="002C2810">
      <w:pPr>
        <w:pStyle w:val="Heading3"/>
        <w:spacing w:before="93"/>
        <w:jc w:val="left"/>
      </w:pPr>
      <w:bookmarkStart w:id="15" w:name="_Toc75168393"/>
      <w:r>
        <w:rPr>
          <w:color w:val="001F5F"/>
        </w:rPr>
        <w:t>Children’s development in the first year of school and preschool attendance</w:t>
      </w:r>
      <w:bookmarkEnd w:id="13"/>
      <w:bookmarkEnd w:id="14"/>
      <w:bookmarkEnd w:id="15"/>
    </w:p>
    <w:p w14:paraId="4B35F42C" w14:textId="6443CA93" w:rsidR="00282205" w:rsidRDefault="002C2810" w:rsidP="00D464BF">
      <w:pPr>
        <w:pStyle w:val="BodyText"/>
        <w:spacing w:before="6" w:line="237" w:lineRule="auto"/>
        <w:ind w:left="260" w:right="289"/>
        <w:jc w:val="both"/>
      </w:pPr>
      <w:r>
        <w:t xml:space="preserve">AEDC data also contributes to an understanding of the benefits of preschool attendance. As Figure 1 shows, children who attended preschool were less likely to be developmentally vulnerable across all five </w:t>
      </w:r>
      <w:hyperlink r:id="rId18">
        <w:r>
          <w:t>developmental domains</w:t>
        </w:r>
      </w:hyperlink>
      <w:r>
        <w:t>, compared to children in other forms of care</w:t>
      </w:r>
      <w:r w:rsidR="00754591">
        <w:rPr>
          <w:rStyle w:val="FootnoteReference"/>
        </w:rPr>
        <w:footnoteReference w:id="5"/>
      </w:r>
      <w:r w:rsidR="00D464BF">
        <w:t>.</w:t>
      </w:r>
    </w:p>
    <w:p w14:paraId="17BF57C6" w14:textId="77777777" w:rsidR="00D464BF" w:rsidRPr="00D464BF" w:rsidRDefault="00D464BF" w:rsidP="00D464BF">
      <w:pPr>
        <w:pStyle w:val="BodyText"/>
        <w:spacing w:before="6" w:line="237" w:lineRule="auto"/>
        <w:ind w:left="260" w:right="289"/>
        <w:jc w:val="both"/>
        <w:rPr>
          <w:position w:val="8"/>
          <w:sz w:val="14"/>
        </w:rPr>
      </w:pPr>
    </w:p>
    <w:p w14:paraId="63745FC3" w14:textId="34A8F0DA" w:rsidR="00282205" w:rsidRDefault="00282205" w:rsidP="00282205">
      <w:pPr>
        <w:spacing w:before="1"/>
        <w:ind w:left="260"/>
        <w:rPr>
          <w:b/>
          <w:sz w:val="20"/>
        </w:rPr>
      </w:pPr>
      <w:r>
        <w:rPr>
          <w:b/>
          <w:color w:val="001F5F"/>
          <w:sz w:val="20"/>
        </w:rPr>
        <w:t xml:space="preserve">Figure 1: </w:t>
      </w:r>
      <w:r w:rsidRPr="00282205">
        <w:rPr>
          <w:b/>
          <w:color w:val="001F5F"/>
          <w:sz w:val="20"/>
        </w:rPr>
        <w:t>Proportion of children developmentally</w:t>
      </w:r>
      <w:r>
        <w:rPr>
          <w:b/>
          <w:color w:val="001F5F"/>
          <w:sz w:val="20"/>
        </w:rPr>
        <w:t xml:space="preserve"> vulnerable on AEDC domains by care type, [2009]</w:t>
      </w:r>
    </w:p>
    <w:p w14:paraId="4760CF52" w14:textId="7790D451" w:rsidR="00282205" w:rsidRDefault="00282205">
      <w:pPr>
        <w:pStyle w:val="BodyText"/>
        <w:spacing w:before="6" w:line="237" w:lineRule="auto"/>
        <w:ind w:left="260" w:right="289"/>
        <w:rPr>
          <w:sz w:val="14"/>
        </w:rPr>
      </w:pPr>
    </w:p>
    <w:p w14:paraId="0A2E1161" w14:textId="2281E2AE" w:rsidR="00282205" w:rsidRDefault="00282205">
      <w:pPr>
        <w:pStyle w:val="BodyText"/>
        <w:spacing w:before="6" w:line="237" w:lineRule="auto"/>
        <w:ind w:left="260" w:right="289"/>
        <w:rPr>
          <w:sz w:val="14"/>
        </w:rPr>
      </w:pPr>
    </w:p>
    <w:p w14:paraId="76BBA2A4" w14:textId="22A710F0" w:rsidR="0098332C" w:rsidRDefault="00282205">
      <w:pPr>
        <w:pStyle w:val="BodyText"/>
        <w:spacing w:before="6"/>
        <w:rPr>
          <w:b/>
          <w:sz w:val="23"/>
        </w:rPr>
      </w:pPr>
      <w:r>
        <w:rPr>
          <w:noProof/>
          <w:lang w:bidi="ar-SA"/>
        </w:rPr>
        <w:drawing>
          <wp:inline distT="0" distB="0" distL="0" distR="0" wp14:anchorId="0C98AFF2" wp14:editId="00B58476">
            <wp:extent cx="6038850" cy="3896324"/>
            <wp:effectExtent l="0" t="0" r="0" b="9525"/>
            <wp:docPr id="38" name="Picture 38" descr="cid:image001.png@01D5B5A6.23EE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B5A6.23EE353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38850" cy="3896324"/>
                    </a:xfrm>
                    <a:prstGeom prst="rect">
                      <a:avLst/>
                    </a:prstGeom>
                    <a:noFill/>
                    <a:ln>
                      <a:noFill/>
                    </a:ln>
                  </pic:spPr>
                </pic:pic>
              </a:graphicData>
            </a:graphic>
          </wp:inline>
        </w:drawing>
      </w:r>
    </w:p>
    <w:p w14:paraId="27A0F9A6" w14:textId="760691A2" w:rsidR="0098332C" w:rsidRDefault="00ED7EA5">
      <w:pPr>
        <w:pStyle w:val="BodyText"/>
        <w:spacing w:before="11"/>
        <w:rPr>
          <w:sz w:val="21"/>
        </w:rPr>
      </w:pPr>
      <w:r>
        <w:rPr>
          <w:sz w:val="18"/>
        </w:rPr>
        <w:t xml:space="preserve">Source: Australian </w:t>
      </w:r>
      <w:r w:rsidR="00F12106">
        <w:rPr>
          <w:sz w:val="18"/>
        </w:rPr>
        <w:t>Government,</w:t>
      </w:r>
      <w:r>
        <w:rPr>
          <w:sz w:val="18"/>
        </w:rPr>
        <w:t xml:space="preserve"> 2014</w:t>
      </w:r>
      <w:r w:rsidR="002E5036">
        <w:rPr>
          <w:sz w:val="18"/>
        </w:rPr>
        <w:t>a</w:t>
      </w:r>
    </w:p>
    <w:p w14:paraId="4B932785" w14:textId="77777777" w:rsidR="00C8137B" w:rsidRPr="00956A85" w:rsidRDefault="00C8137B" w:rsidP="00956A85">
      <w:pPr>
        <w:pStyle w:val="BodyText"/>
        <w:rPr>
          <w:sz w:val="20"/>
        </w:rPr>
      </w:pPr>
    </w:p>
    <w:p w14:paraId="1258D6E8" w14:textId="4A1D47FD" w:rsidR="0098332C" w:rsidRDefault="00B467F1" w:rsidP="003F3F99">
      <w:pPr>
        <w:pStyle w:val="BodyText"/>
        <w:jc w:val="both"/>
        <w:rPr>
          <w:sz w:val="20"/>
        </w:rPr>
      </w:pPr>
      <w:r>
        <w:t xml:space="preserve">Figure 2 </w:t>
      </w:r>
      <w:r w:rsidR="00282205">
        <w:t xml:space="preserve">below </w:t>
      </w:r>
      <w:r>
        <w:t xml:space="preserve">also shows that preschool attendance </w:t>
      </w:r>
      <w:r w:rsidR="003F3F99">
        <w:t xml:space="preserve">for this cohort did </w:t>
      </w:r>
      <w:r>
        <w:t xml:space="preserve">not fully alleviate the gap between children living in advantaged and disadvantaged communities. This likely reflects that there are other factors beyond preschool attendance that also impact on children’s level of developmental vulnerability. </w:t>
      </w:r>
      <w:r w:rsidR="004C7B43">
        <w:t>However</w:t>
      </w:r>
      <w:r>
        <w:t xml:space="preserve">, </w:t>
      </w:r>
      <w:r w:rsidR="004C7B43">
        <w:t xml:space="preserve">it may also reflect the fact that </w:t>
      </w:r>
      <w:r>
        <w:t xml:space="preserve">the </w:t>
      </w:r>
      <w:r w:rsidR="004C7B43">
        <w:t>AEDC collection</w:t>
      </w:r>
      <w:r>
        <w:t xml:space="preserve"> does not assess the level of quality of the preschool programs these children attended</w:t>
      </w:r>
      <w:r w:rsidR="00772749">
        <w:t>,</w:t>
      </w:r>
      <w:r>
        <w:t xml:space="preserve"> </w:t>
      </w:r>
      <w:r w:rsidR="00772749">
        <w:t>n</w:t>
      </w:r>
      <w:r>
        <w:t xml:space="preserve">or </w:t>
      </w:r>
      <w:r w:rsidR="00772749">
        <w:t xml:space="preserve">does it indicate </w:t>
      </w:r>
      <w:r>
        <w:t xml:space="preserve">the </w:t>
      </w:r>
      <w:r w:rsidR="00685FCF">
        <w:t>number</w:t>
      </w:r>
      <w:r>
        <w:t xml:space="preserve"> of hours they receive each week and their level of attendance.</w:t>
      </w:r>
      <w:r w:rsidR="00C8137B">
        <w:t xml:space="preserve"> </w:t>
      </w:r>
      <w:r w:rsidR="00685FCF">
        <w:t>F</w:t>
      </w:r>
      <w:r w:rsidR="004C7B43">
        <w:t>actors such as quality, dosage and attendance</w:t>
      </w:r>
      <w:r w:rsidR="00C8137B">
        <w:t xml:space="preserve"> are crucial to </w:t>
      </w:r>
      <w:r w:rsidR="004C7B43">
        <w:t>ensuring that preschool delivers positive</w:t>
      </w:r>
      <w:r w:rsidR="00C8137B">
        <w:t xml:space="preserve"> outcomes for disadvantaged children.</w:t>
      </w:r>
    </w:p>
    <w:p w14:paraId="2C797502" w14:textId="7BA641A2" w:rsidR="0098332C" w:rsidRDefault="0098332C">
      <w:pPr>
        <w:spacing w:line="242" w:lineRule="auto"/>
        <w:jc w:val="both"/>
        <w:rPr>
          <w:sz w:val="18"/>
        </w:rPr>
        <w:sectPr w:rsidR="0098332C">
          <w:pgSz w:w="11910" w:h="16840"/>
          <w:pgMar w:top="1700" w:right="1220" w:bottom="920" w:left="1180" w:header="567" w:footer="730" w:gutter="0"/>
          <w:cols w:space="720"/>
        </w:sectPr>
      </w:pPr>
    </w:p>
    <w:p w14:paraId="4A8A91FC" w14:textId="77777777" w:rsidR="0098332C" w:rsidRDefault="0098332C">
      <w:pPr>
        <w:pStyle w:val="BodyText"/>
        <w:spacing w:before="2"/>
        <w:rPr>
          <w:sz w:val="12"/>
        </w:rPr>
      </w:pPr>
    </w:p>
    <w:p w14:paraId="410F5C98" w14:textId="5479C4A8" w:rsidR="0098332C" w:rsidRDefault="002C2810">
      <w:pPr>
        <w:spacing w:before="93"/>
        <w:ind w:left="260" w:right="219"/>
        <w:jc w:val="both"/>
        <w:rPr>
          <w:b/>
          <w:sz w:val="20"/>
        </w:rPr>
      </w:pPr>
      <w:r>
        <w:rPr>
          <w:b/>
          <w:color w:val="001F5F"/>
          <w:sz w:val="20"/>
        </w:rPr>
        <w:t>Figure 2: Proportion of children developmentally vulnerable, by preschool and community socioeconomic status</w:t>
      </w:r>
      <w:r w:rsidR="00282205">
        <w:rPr>
          <w:b/>
          <w:color w:val="001F5F"/>
          <w:sz w:val="20"/>
        </w:rPr>
        <w:t>, [2009]</w:t>
      </w:r>
    </w:p>
    <w:p w14:paraId="05600A37" w14:textId="22AD800C" w:rsidR="0098332C" w:rsidRDefault="000E0FEF">
      <w:pPr>
        <w:pStyle w:val="BodyText"/>
        <w:spacing w:before="2"/>
        <w:rPr>
          <w:b/>
          <w:sz w:val="19"/>
        </w:rPr>
      </w:pPr>
      <w:r>
        <w:rPr>
          <w:noProof/>
          <w:lang w:bidi="ar-SA"/>
        </w:rPr>
        <w:drawing>
          <wp:inline distT="0" distB="0" distL="0" distR="0" wp14:anchorId="6194A1DF" wp14:editId="57BB1467">
            <wp:extent cx="6038850" cy="4077359"/>
            <wp:effectExtent l="0" t="0" r="0" b="0"/>
            <wp:docPr id="39" name="Picture 39" descr="cid:image002.png@01D5B5A8.0564C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B5A8.0564C14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38850" cy="4077359"/>
                    </a:xfrm>
                    <a:prstGeom prst="rect">
                      <a:avLst/>
                    </a:prstGeom>
                    <a:noFill/>
                    <a:ln>
                      <a:noFill/>
                    </a:ln>
                  </pic:spPr>
                </pic:pic>
              </a:graphicData>
            </a:graphic>
          </wp:inline>
        </w:drawing>
      </w:r>
    </w:p>
    <w:p w14:paraId="50748F09" w14:textId="77777777" w:rsidR="0098332C" w:rsidRDefault="0098332C">
      <w:pPr>
        <w:pStyle w:val="BodyText"/>
        <w:spacing w:before="11"/>
        <w:rPr>
          <w:b/>
          <w:sz w:val="19"/>
        </w:rPr>
      </w:pPr>
    </w:p>
    <w:p w14:paraId="22A028CF" w14:textId="058578D2" w:rsidR="0098332C" w:rsidRDefault="002C2810">
      <w:pPr>
        <w:ind w:left="260"/>
        <w:jc w:val="both"/>
        <w:rPr>
          <w:sz w:val="18"/>
        </w:rPr>
      </w:pPr>
      <w:r>
        <w:rPr>
          <w:sz w:val="18"/>
        </w:rPr>
        <w:t xml:space="preserve">Source: </w:t>
      </w:r>
      <w:r w:rsidR="00ED7EA5">
        <w:rPr>
          <w:sz w:val="18"/>
        </w:rPr>
        <w:t xml:space="preserve">Australian </w:t>
      </w:r>
      <w:r w:rsidR="0004044C">
        <w:rPr>
          <w:sz w:val="18"/>
        </w:rPr>
        <w:t>Government</w:t>
      </w:r>
      <w:r>
        <w:rPr>
          <w:sz w:val="18"/>
        </w:rPr>
        <w:t>, 2014</w:t>
      </w:r>
      <w:r w:rsidR="002E5036">
        <w:rPr>
          <w:sz w:val="18"/>
        </w:rPr>
        <w:t>a</w:t>
      </w:r>
    </w:p>
    <w:p w14:paraId="754A4D2F" w14:textId="77777777" w:rsidR="0098332C" w:rsidRDefault="0098332C">
      <w:pPr>
        <w:pStyle w:val="BodyText"/>
        <w:spacing w:before="7"/>
        <w:rPr>
          <w:sz w:val="19"/>
        </w:rPr>
      </w:pPr>
    </w:p>
    <w:p w14:paraId="3E8008EC" w14:textId="545963E5" w:rsidR="0098332C" w:rsidRDefault="002C2810">
      <w:pPr>
        <w:pStyle w:val="Heading3"/>
      </w:pPr>
      <w:bookmarkStart w:id="16" w:name="_Toc27585799"/>
      <w:bookmarkStart w:id="17" w:name="_Toc27588214"/>
      <w:bookmarkStart w:id="18" w:name="_Toc75168394"/>
      <w:r>
        <w:rPr>
          <w:color w:val="001F5F"/>
        </w:rPr>
        <w:t>Positive preschool experiences</w:t>
      </w:r>
      <w:bookmarkEnd w:id="16"/>
      <w:bookmarkEnd w:id="17"/>
      <w:bookmarkEnd w:id="18"/>
    </w:p>
    <w:p w14:paraId="50E32185" w14:textId="77777777" w:rsidR="0098332C" w:rsidRDefault="002C2810">
      <w:pPr>
        <w:pStyle w:val="BodyText"/>
        <w:spacing w:before="4"/>
        <w:ind w:left="260" w:right="219"/>
        <w:jc w:val="both"/>
      </w:pPr>
      <w:r>
        <w:t>A summary of key research with regards to positive preschool experiences, particularly for children living in circumstances of socioeconomic disadvantage, explores issues of quality, dosage, span of dosage and session duration.</w:t>
      </w:r>
    </w:p>
    <w:p w14:paraId="3489D8B6" w14:textId="77777777" w:rsidR="0098332C" w:rsidRDefault="0098332C">
      <w:pPr>
        <w:pStyle w:val="BodyText"/>
        <w:spacing w:before="10"/>
        <w:rPr>
          <w:sz w:val="21"/>
        </w:rPr>
      </w:pPr>
    </w:p>
    <w:p w14:paraId="274B9F73" w14:textId="77777777" w:rsidR="0098332C" w:rsidRDefault="002C2810">
      <w:pPr>
        <w:pStyle w:val="BodyText"/>
        <w:ind w:left="260" w:right="221"/>
        <w:jc w:val="both"/>
      </w:pPr>
      <w:r>
        <w:t>O’Connell et al (2015) note that there is broad consensus on what constitutes quality in early education and summarise this as:</w:t>
      </w:r>
    </w:p>
    <w:p w14:paraId="1B30D6BF" w14:textId="04FC3961" w:rsidR="0098332C" w:rsidRDefault="002C2810" w:rsidP="00956A85">
      <w:pPr>
        <w:pStyle w:val="ListParagraph"/>
        <w:numPr>
          <w:ilvl w:val="0"/>
          <w:numId w:val="14"/>
        </w:numPr>
        <w:tabs>
          <w:tab w:val="left" w:pos="981"/>
        </w:tabs>
        <w:ind w:left="980" w:right="217" w:hanging="360"/>
      </w:pPr>
      <w:r>
        <w:rPr>
          <w:b/>
        </w:rPr>
        <w:t xml:space="preserve">Process elements </w:t>
      </w:r>
      <w:r>
        <w:t xml:space="preserve">shaping the dynamics of daily occurrences in early learning and care settings, such as children’s interaction with caregivers and other children, learning </w:t>
      </w:r>
      <w:r w:rsidR="00B85F1E">
        <w:t xml:space="preserve">opportunities activities and health and safety measures; </w:t>
      </w:r>
      <w:r>
        <w:t>and</w:t>
      </w:r>
    </w:p>
    <w:p w14:paraId="3BAB1A4E" w14:textId="77777777" w:rsidR="0098332C" w:rsidRDefault="002C2810" w:rsidP="00956A85">
      <w:pPr>
        <w:pStyle w:val="ListParagraph"/>
        <w:numPr>
          <w:ilvl w:val="0"/>
          <w:numId w:val="14"/>
        </w:numPr>
        <w:tabs>
          <w:tab w:val="left" w:pos="981"/>
        </w:tabs>
        <w:ind w:left="980" w:right="218" w:hanging="360"/>
      </w:pPr>
      <w:r>
        <w:rPr>
          <w:b/>
        </w:rPr>
        <w:t xml:space="preserve">Structural factors </w:t>
      </w:r>
      <w:r>
        <w:t>that facilitate these interactions and learning activities, such as child to adult ratios, the size of each group of children and the formal education and training of</w:t>
      </w:r>
      <w:r>
        <w:rPr>
          <w:spacing w:val="1"/>
        </w:rPr>
        <w:t xml:space="preserve"> </w:t>
      </w:r>
      <w:r>
        <w:t>caregivers.</w:t>
      </w:r>
    </w:p>
    <w:p w14:paraId="2E1CEFAA" w14:textId="77777777" w:rsidR="0098332C" w:rsidRDefault="0098332C">
      <w:pPr>
        <w:pStyle w:val="BodyText"/>
        <w:spacing w:before="10"/>
        <w:rPr>
          <w:sz w:val="21"/>
        </w:rPr>
      </w:pPr>
    </w:p>
    <w:p w14:paraId="76739A30" w14:textId="021558DF" w:rsidR="00D464BF" w:rsidRDefault="003D6F8A" w:rsidP="00D464BF">
      <w:pPr>
        <w:pStyle w:val="BodyText"/>
        <w:ind w:left="260" w:right="213"/>
        <w:jc w:val="both"/>
        <w:rPr>
          <w:lang w:val="en-US"/>
        </w:rPr>
      </w:pPr>
      <w:r w:rsidRPr="003D6F8A">
        <w:rPr>
          <w:lang w:val="en-US"/>
        </w:rPr>
        <w:t>The AECD shows there is a relationship between disadvantage and vulnerability, with 32.3% and 18.5% of children in the most disadvantaged locations experiencing vulnerability on one or more and two or more domains respectively, compared to 14.7% and 6.5% of children in the least disad</w:t>
      </w:r>
      <w:r>
        <w:rPr>
          <w:lang w:val="en-US"/>
        </w:rPr>
        <w:t>vantaged locations (see Figure 3</w:t>
      </w:r>
      <w:r w:rsidRPr="003D6F8A">
        <w:rPr>
          <w:lang w:val="en-US"/>
        </w:rPr>
        <w:t xml:space="preserve">).  </w:t>
      </w:r>
      <w:r>
        <w:rPr>
          <w:lang w:val="en-US"/>
        </w:rPr>
        <w:t>As discussed previously in this report, e</w:t>
      </w:r>
      <w:r w:rsidRPr="003D6F8A">
        <w:rPr>
          <w:lang w:val="en-US"/>
        </w:rPr>
        <w:t>vidence shows that participation in a quality preschool program offers a protective factor against vulnerabilities for children in disadv</w:t>
      </w:r>
      <w:r>
        <w:rPr>
          <w:lang w:val="en-US"/>
        </w:rPr>
        <w:t>antaged locations, h</w:t>
      </w:r>
      <w:r w:rsidRPr="003D6F8A">
        <w:rPr>
          <w:lang w:val="en-US"/>
        </w:rPr>
        <w:t xml:space="preserve">owever, there is an inverse relationship between ECE service quality and </w:t>
      </w:r>
      <w:r w:rsidR="00B0239B">
        <w:rPr>
          <w:lang w:val="en-US"/>
        </w:rPr>
        <w:t xml:space="preserve">locational </w:t>
      </w:r>
      <w:r w:rsidRPr="003D6F8A">
        <w:rPr>
          <w:lang w:val="en-US"/>
        </w:rPr>
        <w:t>disadvantage (see Figure</w:t>
      </w:r>
      <w:r w:rsidR="00F118E6">
        <w:rPr>
          <w:lang w:val="en-US"/>
        </w:rPr>
        <w:t>s</w:t>
      </w:r>
      <w:r>
        <w:rPr>
          <w:lang w:val="en-US"/>
        </w:rPr>
        <w:t xml:space="preserve"> 4</w:t>
      </w:r>
      <w:r w:rsidR="00F118E6">
        <w:rPr>
          <w:lang w:val="en-US"/>
        </w:rPr>
        <w:t xml:space="preserve"> and 5</w:t>
      </w:r>
      <w:r w:rsidR="00D464BF">
        <w:rPr>
          <w:lang w:val="en-US"/>
        </w:rPr>
        <w:t>).</w:t>
      </w:r>
    </w:p>
    <w:p w14:paraId="07FF0C00" w14:textId="239FA736" w:rsidR="00D464BF" w:rsidRDefault="00D464BF">
      <w:pPr>
        <w:rPr>
          <w:lang w:val="en-US"/>
        </w:rPr>
      </w:pPr>
      <w:r>
        <w:rPr>
          <w:lang w:val="en-US"/>
        </w:rPr>
        <w:br w:type="page"/>
      </w:r>
    </w:p>
    <w:p w14:paraId="3EDE8AEC" w14:textId="77777777" w:rsidR="00D464BF" w:rsidRDefault="00D464BF" w:rsidP="00D464BF">
      <w:pPr>
        <w:pStyle w:val="BodyText"/>
        <w:ind w:left="260" w:right="213"/>
        <w:jc w:val="both"/>
        <w:rPr>
          <w:lang w:val="en-US"/>
        </w:rPr>
      </w:pPr>
    </w:p>
    <w:p w14:paraId="47424B84" w14:textId="5527E471" w:rsidR="00703525" w:rsidRPr="00D464BF" w:rsidRDefault="00703525" w:rsidP="00D464BF">
      <w:pPr>
        <w:rPr>
          <w:lang w:val="en-US"/>
        </w:rPr>
      </w:pPr>
      <w:r>
        <w:rPr>
          <w:b/>
          <w:color w:val="001F5F"/>
          <w:sz w:val="20"/>
        </w:rPr>
        <w:t xml:space="preserve">Figure 3: </w:t>
      </w:r>
    </w:p>
    <w:p w14:paraId="4E46F34B" w14:textId="692734CC" w:rsidR="00703525" w:rsidRDefault="00703525">
      <w:pPr>
        <w:pStyle w:val="BodyText"/>
        <w:ind w:left="260" w:right="213"/>
        <w:jc w:val="both"/>
        <w:rPr>
          <w:lang w:val="en-US"/>
        </w:rPr>
      </w:pPr>
      <w:r>
        <w:rPr>
          <w:noProof/>
          <w:lang w:bidi="ar-SA"/>
        </w:rPr>
        <w:drawing>
          <wp:inline distT="0" distB="0" distL="0" distR="0" wp14:anchorId="1C7A2546" wp14:editId="6D8BFBB1">
            <wp:extent cx="5991225" cy="4333875"/>
            <wp:effectExtent l="0" t="0" r="9525" b="9525"/>
            <wp:docPr id="1" name="Picture 1" descr="AEDC results for children vulnerable on one or more and two or more domains"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91225" cy="4333875"/>
                    </a:xfrm>
                    <a:prstGeom prst="rect">
                      <a:avLst/>
                    </a:prstGeom>
                  </pic:spPr>
                </pic:pic>
              </a:graphicData>
            </a:graphic>
          </wp:inline>
        </w:drawing>
      </w:r>
    </w:p>
    <w:p w14:paraId="44FCE312" w14:textId="4D7119A6" w:rsidR="0004044C" w:rsidRPr="00B6013D" w:rsidRDefault="00B6013D" w:rsidP="00703525">
      <w:pPr>
        <w:spacing w:before="93"/>
        <w:ind w:left="260" w:right="219"/>
        <w:jc w:val="both"/>
        <w:rPr>
          <w:sz w:val="18"/>
        </w:rPr>
      </w:pPr>
      <w:r w:rsidRPr="00B6013D">
        <w:rPr>
          <w:sz w:val="18"/>
        </w:rPr>
        <w:t>Sour</w:t>
      </w:r>
      <w:r w:rsidR="00677B39">
        <w:rPr>
          <w:sz w:val="18"/>
        </w:rPr>
        <w:t>ce:  Australian Government 2019a</w:t>
      </w:r>
    </w:p>
    <w:p w14:paraId="230F4DF1" w14:textId="77777777" w:rsidR="00B6013D" w:rsidRDefault="00B6013D" w:rsidP="00703525">
      <w:pPr>
        <w:spacing w:before="93"/>
        <w:ind w:left="260" w:right="219"/>
        <w:jc w:val="both"/>
        <w:rPr>
          <w:b/>
          <w:color w:val="001F5F"/>
          <w:sz w:val="20"/>
        </w:rPr>
      </w:pPr>
    </w:p>
    <w:p w14:paraId="1308D59A" w14:textId="77777777" w:rsidR="00B6013D" w:rsidRDefault="00B6013D" w:rsidP="00703525">
      <w:pPr>
        <w:spacing w:before="93"/>
        <w:ind w:left="260" w:right="219"/>
        <w:jc w:val="both"/>
        <w:rPr>
          <w:b/>
          <w:color w:val="001F5F"/>
          <w:sz w:val="20"/>
        </w:rPr>
      </w:pPr>
    </w:p>
    <w:p w14:paraId="5981B408" w14:textId="64906894" w:rsidR="003D6F8A" w:rsidRPr="00703525" w:rsidRDefault="00703525" w:rsidP="00703525">
      <w:pPr>
        <w:spacing w:before="93"/>
        <w:ind w:left="260" w:right="219"/>
        <w:jc w:val="both"/>
        <w:rPr>
          <w:b/>
          <w:sz w:val="20"/>
        </w:rPr>
      </w:pPr>
      <w:r>
        <w:rPr>
          <w:b/>
          <w:color w:val="001F5F"/>
          <w:sz w:val="20"/>
        </w:rPr>
        <w:t xml:space="preserve">Figures 4 and 5: </w:t>
      </w:r>
      <w:r>
        <w:rPr>
          <w:noProof/>
          <w:lang w:bidi="ar-SA"/>
        </w:rPr>
        <w:drawing>
          <wp:anchor distT="0" distB="0" distL="114300" distR="114300" simplePos="0" relativeHeight="251664384" behindDoc="0" locked="0" layoutInCell="1" allowOverlap="1" wp14:anchorId="49D0A928" wp14:editId="75634637">
            <wp:simplePos x="0" y="0"/>
            <wp:positionH relativeFrom="page">
              <wp:align>right</wp:align>
            </wp:positionH>
            <wp:positionV relativeFrom="paragraph">
              <wp:posOffset>308610</wp:posOffset>
            </wp:positionV>
            <wp:extent cx="7437755" cy="2291080"/>
            <wp:effectExtent l="0" t="0" r="0" b="0"/>
            <wp:wrapSquare wrapText="bothSides"/>
            <wp:docPr id="5" name="Picture 5" title="Figures 4 and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7437755" cy="2291080"/>
                    </a:xfrm>
                    <a:prstGeom prst="rect">
                      <a:avLst/>
                    </a:prstGeom>
                  </pic:spPr>
                </pic:pic>
              </a:graphicData>
            </a:graphic>
            <wp14:sizeRelH relativeFrom="margin">
              <wp14:pctWidth>0</wp14:pctWidth>
            </wp14:sizeRelH>
            <wp14:sizeRelV relativeFrom="margin">
              <wp14:pctHeight>0</wp14:pctHeight>
            </wp14:sizeRelV>
          </wp:anchor>
        </w:drawing>
      </w:r>
    </w:p>
    <w:p w14:paraId="44690310" w14:textId="6DEED1EB" w:rsidR="00703525" w:rsidRDefault="00B6013D">
      <w:pPr>
        <w:pStyle w:val="BodyText"/>
        <w:ind w:left="260" w:right="213"/>
        <w:jc w:val="both"/>
        <w:rPr>
          <w:lang w:val="en-US"/>
        </w:rPr>
      </w:pPr>
      <w:r>
        <w:rPr>
          <w:lang w:val="en-US"/>
        </w:rPr>
        <w:t>Source:  ACECQA</w:t>
      </w:r>
      <w:r w:rsidR="00754591">
        <w:rPr>
          <w:rStyle w:val="FootnoteReference"/>
          <w:lang w:val="en-US"/>
        </w:rPr>
        <w:footnoteReference w:id="6"/>
      </w:r>
    </w:p>
    <w:p w14:paraId="70A7CBD0" w14:textId="2E9D4C9F" w:rsidR="0098332C" w:rsidRDefault="002C2810" w:rsidP="00754591">
      <w:pPr>
        <w:pStyle w:val="BodyText"/>
        <w:ind w:left="270" w:right="213"/>
        <w:jc w:val="both"/>
      </w:pPr>
      <w:r>
        <w:t>The notion of dosage is a relatively recent addition to the vernacular on early childhood education, having only emerged as a consistent part of research/practice design post-1990s (Claessens &amp; Garrett 2014). Current research has identified dosage to be important, with fifteen hours per week emerging as the generally accepted baseline for a minimum dosage of preschool participation in Australia (see for example O’Connell et al 2015). In contrast, AIHW (2015) notes there is a dearth of literature on the optimal number of hours</w:t>
      </w:r>
      <w:r>
        <w:rPr>
          <w:spacing w:val="46"/>
        </w:rPr>
        <w:t xml:space="preserve"> </w:t>
      </w:r>
      <w:r>
        <w:t>of</w:t>
      </w:r>
      <w:r w:rsidR="00F118E6">
        <w:t xml:space="preserve"> </w:t>
      </w:r>
      <w:r>
        <w:t>attendance at a preschool program and that it is not clear that 15 hours per week is optimal from a child development perspective.</w:t>
      </w:r>
    </w:p>
    <w:p w14:paraId="7042D149" w14:textId="77777777" w:rsidR="0098332C" w:rsidRDefault="0098332C">
      <w:pPr>
        <w:pStyle w:val="BodyText"/>
      </w:pPr>
    </w:p>
    <w:p w14:paraId="4E63DEEC" w14:textId="45E515A5" w:rsidR="0098332C" w:rsidRDefault="002C2810">
      <w:pPr>
        <w:pStyle w:val="BodyText"/>
        <w:ind w:left="260" w:right="213"/>
        <w:jc w:val="both"/>
      </w:pPr>
      <w:r>
        <w:t>There is some evidence that full days may be more beneficial than part days for preschool children, however, this is highly dependent on quality service delivery. Poor quality or ‘</w:t>
      </w:r>
      <w:r w:rsidR="00BD38AC">
        <w:t>sub-par</w:t>
      </w:r>
      <w:r>
        <w:t xml:space="preserve"> delivery’ means that the gains that might be made by greater exposure are negated. Greater dosage of poor quality preschool education is likely to produce detrimental outcomes, and both US and Australian research suggests that young children living in circumstances of social and economic disadvantage are particularly vulnerable to the negative impacts of poor qualit</w:t>
      </w:r>
      <w:r w:rsidR="001244D5">
        <w:t>y preschool (Vandell et al, 2010</w:t>
      </w:r>
      <w:r>
        <w:t>).</w:t>
      </w:r>
    </w:p>
    <w:p w14:paraId="686BD1E2" w14:textId="77777777" w:rsidR="0098332C" w:rsidRDefault="0098332C">
      <w:pPr>
        <w:pStyle w:val="BodyText"/>
        <w:spacing w:before="1"/>
      </w:pPr>
    </w:p>
    <w:p w14:paraId="0B5FB641" w14:textId="7C7AF04B" w:rsidR="0098332C" w:rsidRDefault="002C2810">
      <w:pPr>
        <w:pStyle w:val="BodyText"/>
        <w:spacing w:before="1"/>
        <w:ind w:left="260" w:right="215"/>
        <w:jc w:val="both"/>
      </w:pPr>
      <w:r>
        <w:t>The span of dosage is also important. Two years of preschool education is more beneficial than one year, especially for children who are more vulnerable. It has been suggested for example tha</w:t>
      </w:r>
      <w:r w:rsidR="00AF0C14">
        <w:t>t two years of high quality ECE</w:t>
      </w:r>
      <w:r>
        <w:t xml:space="preserve"> for 15 hours per week provides the same protective factor as having a tertiary educated mother (</w:t>
      </w:r>
      <w:r w:rsidR="003B52BC">
        <w:t xml:space="preserve">Sylva et al, </w:t>
      </w:r>
      <w:r>
        <w:t>2010</w:t>
      </w:r>
      <w:r w:rsidR="003B52BC">
        <w:t xml:space="preserve">). </w:t>
      </w:r>
      <w:r>
        <w:t xml:space="preserve">An extended period of preschool participation (even if attendance is part time, over two years) appears to be more positively impactful than a shorter period of intense participation (for example </w:t>
      </w:r>
      <w:r w:rsidR="00A65D8F">
        <w:t>full-time</w:t>
      </w:r>
      <w:r>
        <w:t xml:space="preserve"> days for a few months)</w:t>
      </w:r>
      <w:r w:rsidR="00B6013D">
        <w:t xml:space="preserve"> (</w:t>
      </w:r>
      <w:r>
        <w:t>Fox &amp; Geddes 2016).</w:t>
      </w:r>
    </w:p>
    <w:p w14:paraId="7DF07CEF" w14:textId="67FCDAF7" w:rsidR="003D6F8A" w:rsidRDefault="003D6F8A">
      <w:pPr>
        <w:pStyle w:val="BodyText"/>
        <w:spacing w:before="1"/>
        <w:ind w:left="260" w:right="215"/>
        <w:jc w:val="both"/>
      </w:pPr>
    </w:p>
    <w:p w14:paraId="270B87D7" w14:textId="0E3BB69F" w:rsidR="0098332C" w:rsidRDefault="002C2810">
      <w:pPr>
        <w:pStyle w:val="Heading3"/>
        <w:spacing w:before="1"/>
      </w:pPr>
      <w:bookmarkStart w:id="19" w:name="_Toc27585800"/>
      <w:bookmarkStart w:id="20" w:name="_Toc27588215"/>
      <w:bookmarkStart w:id="21" w:name="_Toc75168395"/>
      <w:r>
        <w:rPr>
          <w:color w:val="001F5F"/>
        </w:rPr>
        <w:t>Barriers to participation</w:t>
      </w:r>
      <w:bookmarkEnd w:id="19"/>
      <w:bookmarkEnd w:id="20"/>
      <w:bookmarkEnd w:id="21"/>
    </w:p>
    <w:p w14:paraId="00671B27" w14:textId="77777777" w:rsidR="0098332C" w:rsidRDefault="002C2810">
      <w:pPr>
        <w:pStyle w:val="BodyText"/>
        <w:spacing w:before="1"/>
        <w:ind w:left="260" w:right="220"/>
        <w:jc w:val="both"/>
      </w:pPr>
      <w:r>
        <w:t>A range of research suggests there are a number of structural and contextual factors that influence disadvantaged families’ decisions to participate in early education services, including preschool. O’Connell et al (2016) summarise these as:</w:t>
      </w:r>
    </w:p>
    <w:p w14:paraId="0E8944B1" w14:textId="77777777" w:rsidR="0098332C" w:rsidRDefault="002C2810" w:rsidP="00A303CB">
      <w:pPr>
        <w:pStyle w:val="ListParagraph"/>
        <w:numPr>
          <w:ilvl w:val="0"/>
          <w:numId w:val="14"/>
        </w:numPr>
        <w:tabs>
          <w:tab w:val="left" w:pos="977"/>
          <w:tab w:val="left" w:pos="978"/>
        </w:tabs>
        <w:spacing w:before="4" w:line="237" w:lineRule="auto"/>
        <w:ind w:left="978" w:right="761" w:hanging="360"/>
        <w:jc w:val="left"/>
      </w:pPr>
      <w:r>
        <w:t>Parents’ preferences and beliefs about child development and the value of early education</w:t>
      </w:r>
    </w:p>
    <w:p w14:paraId="431D0382" w14:textId="77777777" w:rsidR="0098332C" w:rsidRDefault="002C2810" w:rsidP="00A303CB">
      <w:pPr>
        <w:pStyle w:val="ListParagraph"/>
        <w:numPr>
          <w:ilvl w:val="0"/>
          <w:numId w:val="14"/>
        </w:numPr>
        <w:tabs>
          <w:tab w:val="left" w:pos="977"/>
          <w:tab w:val="left" w:pos="978"/>
        </w:tabs>
        <w:spacing w:before="3" w:line="237" w:lineRule="auto"/>
        <w:ind w:left="978" w:right="481" w:hanging="360"/>
        <w:jc w:val="left"/>
      </w:pPr>
      <w:r>
        <w:t>Access and availability, including cost, operating hours, location and lack of private and public transport</w:t>
      </w:r>
    </w:p>
    <w:p w14:paraId="4B1C65D4" w14:textId="77777777" w:rsidR="0098332C" w:rsidRDefault="002C2810" w:rsidP="00A303CB">
      <w:pPr>
        <w:pStyle w:val="ListParagraph"/>
        <w:numPr>
          <w:ilvl w:val="0"/>
          <w:numId w:val="14"/>
        </w:numPr>
        <w:tabs>
          <w:tab w:val="left" w:pos="977"/>
          <w:tab w:val="left" w:pos="978"/>
        </w:tabs>
        <w:spacing w:before="2" w:line="269" w:lineRule="exact"/>
        <w:ind w:left="978" w:hanging="360"/>
        <w:jc w:val="left"/>
      </w:pPr>
      <w:r>
        <w:t>Services not meeting</w:t>
      </w:r>
      <w:r>
        <w:rPr>
          <w:spacing w:val="-2"/>
        </w:rPr>
        <w:t xml:space="preserve"> </w:t>
      </w:r>
      <w:r>
        <w:t>need</w:t>
      </w:r>
    </w:p>
    <w:p w14:paraId="1B7B4CA3" w14:textId="77777777" w:rsidR="0098332C" w:rsidRDefault="002C2810" w:rsidP="00A303CB">
      <w:pPr>
        <w:pStyle w:val="ListParagraph"/>
        <w:numPr>
          <w:ilvl w:val="0"/>
          <w:numId w:val="14"/>
        </w:numPr>
        <w:tabs>
          <w:tab w:val="left" w:pos="977"/>
          <w:tab w:val="left" w:pos="978"/>
        </w:tabs>
        <w:spacing w:line="268" w:lineRule="exact"/>
        <w:ind w:left="978" w:hanging="360"/>
        <w:jc w:val="left"/>
      </w:pPr>
      <w:r>
        <w:t>Poor coordination between services</w:t>
      </w:r>
    </w:p>
    <w:p w14:paraId="6437BBCA" w14:textId="77777777" w:rsidR="0098332C" w:rsidRDefault="002C2810" w:rsidP="00A303CB">
      <w:pPr>
        <w:pStyle w:val="ListParagraph"/>
        <w:numPr>
          <w:ilvl w:val="0"/>
          <w:numId w:val="14"/>
        </w:numPr>
        <w:tabs>
          <w:tab w:val="left" w:pos="977"/>
          <w:tab w:val="left" w:pos="978"/>
        </w:tabs>
        <w:spacing w:line="268" w:lineRule="exact"/>
        <w:ind w:left="978" w:hanging="360"/>
        <w:jc w:val="left"/>
      </w:pPr>
      <w:r>
        <w:t>Limited access to specialist supports for children with additional</w:t>
      </w:r>
      <w:r>
        <w:rPr>
          <w:spacing w:val="-11"/>
        </w:rPr>
        <w:t xml:space="preserve"> </w:t>
      </w:r>
      <w:r>
        <w:t>needs</w:t>
      </w:r>
    </w:p>
    <w:p w14:paraId="492C2586" w14:textId="77777777" w:rsidR="0098332C" w:rsidRDefault="002C2810" w:rsidP="00A303CB">
      <w:pPr>
        <w:pStyle w:val="ListParagraph"/>
        <w:numPr>
          <w:ilvl w:val="0"/>
          <w:numId w:val="14"/>
        </w:numPr>
        <w:tabs>
          <w:tab w:val="left" w:pos="977"/>
          <w:tab w:val="left" w:pos="978"/>
        </w:tabs>
        <w:spacing w:line="268" w:lineRule="exact"/>
        <w:ind w:left="978" w:hanging="360"/>
        <w:jc w:val="left"/>
      </w:pPr>
      <w:r>
        <w:t>Lack of publicity about</w:t>
      </w:r>
      <w:r>
        <w:rPr>
          <w:spacing w:val="-1"/>
        </w:rPr>
        <w:t xml:space="preserve"> </w:t>
      </w:r>
      <w:r>
        <w:t>services</w:t>
      </w:r>
    </w:p>
    <w:p w14:paraId="3DA86A29" w14:textId="77777777" w:rsidR="0098332C" w:rsidRDefault="002C2810" w:rsidP="002776D6">
      <w:pPr>
        <w:pStyle w:val="ListParagraph"/>
        <w:numPr>
          <w:ilvl w:val="0"/>
          <w:numId w:val="14"/>
        </w:numPr>
        <w:tabs>
          <w:tab w:val="left" w:pos="977"/>
          <w:tab w:val="left" w:pos="978"/>
        </w:tabs>
        <w:spacing w:line="268" w:lineRule="exact"/>
        <w:ind w:left="978" w:hanging="360"/>
        <w:jc w:val="left"/>
      </w:pPr>
      <w:r>
        <w:t>Complex paper work and enrolment</w:t>
      </w:r>
      <w:r>
        <w:rPr>
          <w:spacing w:val="-1"/>
        </w:rPr>
        <w:t xml:space="preserve"> </w:t>
      </w:r>
      <w:r>
        <w:t>processes</w:t>
      </w:r>
    </w:p>
    <w:p w14:paraId="00FD70A1" w14:textId="5AE22B0B" w:rsidR="0098332C" w:rsidRDefault="002C2810" w:rsidP="002776D6">
      <w:pPr>
        <w:pStyle w:val="ListParagraph"/>
        <w:numPr>
          <w:ilvl w:val="0"/>
          <w:numId w:val="14"/>
        </w:numPr>
        <w:tabs>
          <w:tab w:val="left" w:pos="977"/>
          <w:tab w:val="left" w:pos="978"/>
        </w:tabs>
        <w:spacing w:line="269" w:lineRule="exact"/>
        <w:ind w:left="978" w:hanging="360"/>
        <w:jc w:val="left"/>
      </w:pPr>
      <w:r>
        <w:t>Lack of trust in services and fear of judgemental attitudes and</w:t>
      </w:r>
      <w:r>
        <w:rPr>
          <w:spacing w:val="-12"/>
        </w:rPr>
        <w:t xml:space="preserve"> </w:t>
      </w:r>
      <w:r>
        <w:t>behaviours.</w:t>
      </w:r>
    </w:p>
    <w:p w14:paraId="246868D5" w14:textId="77777777" w:rsidR="00891C9F" w:rsidRDefault="00891C9F" w:rsidP="002776D6">
      <w:pPr>
        <w:pStyle w:val="Footer"/>
        <w:widowControl/>
        <w:tabs>
          <w:tab w:val="left" w:pos="977"/>
          <w:tab w:val="left" w:pos="978"/>
        </w:tabs>
        <w:autoSpaceDE/>
        <w:autoSpaceDN/>
        <w:spacing w:line="269" w:lineRule="exact"/>
      </w:pPr>
    </w:p>
    <w:p w14:paraId="7CB194CC" w14:textId="77777777" w:rsidR="00B6013D" w:rsidRDefault="00B6013D" w:rsidP="002776D6">
      <w:pPr>
        <w:pStyle w:val="Footer"/>
        <w:widowControl/>
        <w:tabs>
          <w:tab w:val="left" w:pos="977"/>
          <w:tab w:val="left" w:pos="978"/>
        </w:tabs>
        <w:autoSpaceDE/>
        <w:autoSpaceDN/>
        <w:ind w:left="284"/>
        <w:jc w:val="both"/>
      </w:pPr>
      <w:r>
        <w:t>SNAICC (2019) adds that barriers to participation for Aboriginal and Torres Strait Islander families also include:</w:t>
      </w:r>
    </w:p>
    <w:p w14:paraId="726816C7" w14:textId="77777777" w:rsidR="00B6013D" w:rsidRDefault="00B6013D" w:rsidP="002776D6">
      <w:pPr>
        <w:pStyle w:val="Footer"/>
        <w:widowControl/>
        <w:numPr>
          <w:ilvl w:val="0"/>
          <w:numId w:val="26"/>
        </w:numPr>
        <w:tabs>
          <w:tab w:val="left" w:pos="977"/>
          <w:tab w:val="left" w:pos="978"/>
        </w:tabs>
        <w:autoSpaceDE/>
        <w:autoSpaceDN/>
        <w:jc w:val="both"/>
      </w:pPr>
      <w:r>
        <w:t>Lack of Aboriginal leadership and involvement in service delivery</w:t>
      </w:r>
    </w:p>
    <w:p w14:paraId="5BDBDD5E" w14:textId="02B055A7" w:rsidR="00B6013D" w:rsidRDefault="00B6013D" w:rsidP="002776D6">
      <w:pPr>
        <w:pStyle w:val="Footer"/>
        <w:widowControl/>
        <w:numPr>
          <w:ilvl w:val="0"/>
          <w:numId w:val="26"/>
        </w:numPr>
        <w:tabs>
          <w:tab w:val="left" w:pos="977"/>
          <w:tab w:val="left" w:pos="978"/>
        </w:tabs>
        <w:autoSpaceDE/>
        <w:autoSpaceDN/>
        <w:jc w:val="both"/>
      </w:pPr>
      <w:r>
        <w:t>Cultural barriers such as lack of service cultural competence</w:t>
      </w:r>
    </w:p>
    <w:p w14:paraId="6DE21A42" w14:textId="77777777" w:rsidR="00B6013D" w:rsidRDefault="00B6013D" w:rsidP="002776D6">
      <w:pPr>
        <w:pStyle w:val="Footer"/>
        <w:widowControl/>
        <w:numPr>
          <w:ilvl w:val="0"/>
          <w:numId w:val="26"/>
        </w:numPr>
        <w:tabs>
          <w:tab w:val="left" w:pos="977"/>
          <w:tab w:val="left" w:pos="978"/>
        </w:tabs>
        <w:autoSpaceDE/>
        <w:autoSpaceDN/>
        <w:jc w:val="both"/>
      </w:pPr>
      <w:r>
        <w:t>Social and neighbourhood characteristics like past experience and community level distress.</w:t>
      </w:r>
    </w:p>
    <w:p w14:paraId="297BE450" w14:textId="77777777" w:rsidR="002776D6" w:rsidRDefault="002776D6" w:rsidP="00AF0C14">
      <w:pPr>
        <w:pStyle w:val="Footer"/>
        <w:widowControl/>
        <w:tabs>
          <w:tab w:val="left" w:pos="977"/>
          <w:tab w:val="left" w:pos="978"/>
        </w:tabs>
        <w:autoSpaceDE/>
        <w:autoSpaceDN/>
        <w:spacing w:line="269" w:lineRule="exact"/>
        <w:ind w:left="270"/>
        <w:jc w:val="both"/>
      </w:pPr>
    </w:p>
    <w:p w14:paraId="15D679C7" w14:textId="6A4D106C" w:rsidR="0098332C" w:rsidRDefault="00891C9F" w:rsidP="00AF0C14">
      <w:pPr>
        <w:pStyle w:val="Footer"/>
        <w:widowControl/>
        <w:tabs>
          <w:tab w:val="left" w:pos="977"/>
          <w:tab w:val="left" w:pos="978"/>
        </w:tabs>
        <w:autoSpaceDE/>
        <w:autoSpaceDN/>
        <w:spacing w:line="269" w:lineRule="exact"/>
        <w:ind w:left="270"/>
        <w:jc w:val="both"/>
      </w:pPr>
      <w:r>
        <w:t xml:space="preserve">The </w:t>
      </w:r>
      <w:r w:rsidR="004D2ABF">
        <w:t>Project</w:t>
      </w:r>
      <w:r>
        <w:t xml:space="preserve"> intends to interrogate these barriers directly with families and practitioners in a number of communities in participating jurisdictions during Stage One, to hear from families and practitioners not only what they consider the barriers to be, but their ideas on what would work to reduce those barriers</w:t>
      </w:r>
      <w:r>
        <w:rPr>
          <w:rStyle w:val="FootnoteReference"/>
        </w:rPr>
        <w:footnoteReference w:id="7"/>
      </w:r>
      <w:r>
        <w:t>.  The Stage One Interim Report will include a summary of the consultations undertaken and a suite of strategies that could be implemented to improve preschool participation.</w:t>
      </w:r>
    </w:p>
    <w:p w14:paraId="7FFA1282" w14:textId="77777777" w:rsidR="00891C9F" w:rsidRPr="00891C9F" w:rsidRDefault="00891C9F" w:rsidP="00891C9F">
      <w:pPr>
        <w:pStyle w:val="Footer"/>
        <w:widowControl/>
        <w:tabs>
          <w:tab w:val="left" w:pos="977"/>
          <w:tab w:val="left" w:pos="978"/>
        </w:tabs>
        <w:autoSpaceDE/>
        <w:autoSpaceDN/>
        <w:spacing w:after="120" w:line="269" w:lineRule="exact"/>
        <w:ind w:left="284"/>
        <w:jc w:val="both"/>
      </w:pPr>
    </w:p>
    <w:p w14:paraId="600A7DFD" w14:textId="59E1655F" w:rsidR="0098332C" w:rsidRDefault="002C2810">
      <w:pPr>
        <w:pStyle w:val="Heading3"/>
      </w:pPr>
      <w:bookmarkStart w:id="22" w:name="_Toc27585801"/>
      <w:bookmarkStart w:id="23" w:name="_Toc27588216"/>
      <w:bookmarkStart w:id="24" w:name="_Toc75168396"/>
      <w:r>
        <w:rPr>
          <w:color w:val="001F5F"/>
        </w:rPr>
        <w:t>Looking beyond “hard to reach”</w:t>
      </w:r>
      <w:bookmarkEnd w:id="22"/>
      <w:bookmarkEnd w:id="23"/>
      <w:bookmarkEnd w:id="24"/>
    </w:p>
    <w:p w14:paraId="0D904F2F" w14:textId="77777777" w:rsidR="0098332C" w:rsidRDefault="002C2810">
      <w:pPr>
        <w:pStyle w:val="BodyText"/>
        <w:spacing w:before="4"/>
        <w:ind w:left="260" w:right="212"/>
        <w:jc w:val="both"/>
      </w:pPr>
      <w:r>
        <w:t>Families who do not participate in preschool programs are often defined as being ‘education- averse’ and this is often broadly assumed to be the main barrier to preschool participation.   A meta-analysis of the literature on disadvantage and educational access identified a total of 32 understandings of what are characterised as ‘hard to reach’ families. However it noted that this actually conceals a more complex array of different categories of barriers including involuntary isolation, health-related challenges and a lack of skills to bridge the gap between family and service (Boag-Munroe &amp; Evangelou, 2012). Research in the UK also highlights the shortcomings and limitations of the ‘hard to reach’ dichotomy that has come to frame educational engagement for parents from lower socio-economic status families (Watt L, 2016).</w:t>
      </w:r>
    </w:p>
    <w:p w14:paraId="743A6808" w14:textId="77777777" w:rsidR="0098332C" w:rsidRDefault="0098332C">
      <w:pPr>
        <w:pStyle w:val="BodyText"/>
        <w:spacing w:before="11"/>
        <w:rPr>
          <w:sz w:val="21"/>
        </w:rPr>
      </w:pPr>
    </w:p>
    <w:p w14:paraId="7AB98F5E" w14:textId="750B9C0C" w:rsidR="00AF0C14" w:rsidRDefault="002C2810" w:rsidP="00AF0C14">
      <w:pPr>
        <w:pStyle w:val="BodyText"/>
        <w:ind w:left="260" w:right="213"/>
        <w:jc w:val="both"/>
      </w:pPr>
      <w:r>
        <w:t>The meta-analysis (Boag-Munroe &amp; Evangelou, 2012) also explored the literature on families who are described not just as hard to reach but as ‘hard to engage’, noting two broad categories of families are discussed. One group is those who might be understood as ‘voluntarily isolated’, perhaps because they feel engagement might be stigmatising or threatening, such as refugee and asylum seeker families or families experiencing drug or alcohol misuse. The second group are those who have reservations about participation in</w:t>
      </w:r>
      <w:r w:rsidR="00934109">
        <w:t xml:space="preserve"> t</w:t>
      </w:r>
      <w:r>
        <w:t>he service, with a wide range of reasons cited for these families’ non-engagement, again confirming the complexity of factors which are at play. The meta-analysis concludes that the reasons why families who might benefit from services are often not being engaged are multiple and potentially complex, with it being unusual for one barrier to access to exist in isolation.</w:t>
      </w:r>
    </w:p>
    <w:p w14:paraId="64884084" w14:textId="77777777" w:rsidR="0098332C" w:rsidRDefault="0098332C">
      <w:pPr>
        <w:pStyle w:val="BodyText"/>
        <w:spacing w:before="11"/>
        <w:rPr>
          <w:sz w:val="21"/>
        </w:rPr>
      </w:pPr>
    </w:p>
    <w:p w14:paraId="5A1FFB44" w14:textId="225AB486" w:rsidR="0098332C" w:rsidRDefault="002C2810">
      <w:pPr>
        <w:pStyle w:val="Heading3"/>
      </w:pPr>
      <w:bookmarkStart w:id="25" w:name="_Toc27585802"/>
      <w:bookmarkStart w:id="26" w:name="_Toc27588217"/>
      <w:bookmarkStart w:id="27" w:name="_Toc75168397"/>
      <w:r>
        <w:rPr>
          <w:color w:val="001F5F"/>
        </w:rPr>
        <w:t>The views of families in disadvantaged communities</w:t>
      </w:r>
      <w:bookmarkEnd w:id="25"/>
      <w:bookmarkEnd w:id="26"/>
      <w:bookmarkEnd w:id="27"/>
    </w:p>
    <w:p w14:paraId="17F74E73" w14:textId="4E4A0AC5" w:rsidR="0098332C" w:rsidRDefault="002C2810">
      <w:pPr>
        <w:pStyle w:val="BodyText"/>
        <w:spacing w:before="1"/>
        <w:ind w:left="260" w:right="212"/>
        <w:jc w:val="both"/>
      </w:pPr>
      <w:r>
        <w:t>Australian research with families from disadvantaged backgrounds regarding their participation in preschool is limited. Hence it is anticipated that</w:t>
      </w:r>
      <w:r w:rsidR="002642B6">
        <w:t xml:space="preserve"> the deeper consultations undertaken as part of</w:t>
      </w:r>
      <w:r>
        <w:t xml:space="preserve"> Stage 2 of the Project will contribute significantly to understanding the factors which support or impinge on these families’ participation in</w:t>
      </w:r>
      <w:r>
        <w:rPr>
          <w:spacing w:val="-8"/>
        </w:rPr>
        <w:t xml:space="preserve"> </w:t>
      </w:r>
      <w:r>
        <w:t>preschool.</w:t>
      </w:r>
    </w:p>
    <w:p w14:paraId="05895717" w14:textId="77777777" w:rsidR="0098332C" w:rsidRDefault="0098332C">
      <w:pPr>
        <w:pStyle w:val="BodyText"/>
      </w:pPr>
    </w:p>
    <w:p w14:paraId="00DEC182" w14:textId="77777777" w:rsidR="0098332C" w:rsidRDefault="002C2810">
      <w:pPr>
        <w:pStyle w:val="BodyText"/>
        <w:ind w:left="260" w:right="216"/>
        <w:jc w:val="both"/>
      </w:pPr>
      <w:r>
        <w:t>A study of 101 families from disadvantaged communities in NSW, with children aged three to five years, explored their views and practices in engaging with early childhood education (Grace R et al, 2014). While these families identified a number of barriers in line with the list presented above (O’Connell et al 2016), perceptions of quality were seen as being a driving force shaping reticence to enrol in a preschool program for some of these families. This suggests that a deeper examination of the decision making frameworks used by families to assess preschool appropriateness is required.</w:t>
      </w:r>
    </w:p>
    <w:p w14:paraId="7CB25BE2" w14:textId="77777777" w:rsidR="0098332C" w:rsidRDefault="0098332C">
      <w:pPr>
        <w:pStyle w:val="BodyText"/>
      </w:pPr>
    </w:p>
    <w:p w14:paraId="6A6B451F" w14:textId="799347E8" w:rsidR="0098332C" w:rsidRDefault="002C2810" w:rsidP="00D464BF">
      <w:pPr>
        <w:pStyle w:val="BodyText"/>
        <w:ind w:left="260" w:right="216"/>
        <w:jc w:val="both"/>
      </w:pPr>
      <w:r>
        <w:t>The following discussion distils research findings which highlight the complex set of factors which can underpin a family’s decision to either disengage or not engage at all with a preschool program.</w:t>
      </w:r>
      <w:r w:rsidR="00E66D75">
        <w:t xml:space="preserve"> T</w:t>
      </w:r>
      <w:r w:rsidR="00E66D75" w:rsidRPr="00E66D75">
        <w:t>he</w:t>
      </w:r>
      <w:r w:rsidR="00E66D75">
        <w:t xml:space="preserve"> factors can be grouped and viewed through the lens of safety, as this lens captures t</w:t>
      </w:r>
      <w:r w:rsidR="00D464BF">
        <w:t>he majority of these findings.</w:t>
      </w:r>
    </w:p>
    <w:p w14:paraId="223A99E7" w14:textId="77777777" w:rsidR="00D464BF" w:rsidRPr="00D464BF" w:rsidRDefault="00D464BF" w:rsidP="00D464BF">
      <w:pPr>
        <w:pStyle w:val="BodyText"/>
        <w:ind w:left="260" w:right="216"/>
        <w:jc w:val="both"/>
      </w:pPr>
    </w:p>
    <w:p w14:paraId="3047AE00" w14:textId="5F770546" w:rsidR="0098332C" w:rsidRDefault="002C2810">
      <w:pPr>
        <w:pStyle w:val="Heading3"/>
        <w:jc w:val="left"/>
      </w:pPr>
      <w:bookmarkStart w:id="28" w:name="_Toc27585803"/>
      <w:bookmarkStart w:id="29" w:name="_Toc27588218"/>
      <w:bookmarkStart w:id="30" w:name="_Toc75168398"/>
      <w:r>
        <w:rPr>
          <w:color w:val="001F5F"/>
        </w:rPr>
        <w:t>Safety</w:t>
      </w:r>
      <w:bookmarkEnd w:id="28"/>
      <w:bookmarkEnd w:id="29"/>
      <w:bookmarkEnd w:id="30"/>
    </w:p>
    <w:p w14:paraId="48EAF384" w14:textId="7C81F899" w:rsidR="0098332C" w:rsidRDefault="002C2810">
      <w:pPr>
        <w:pStyle w:val="BodyText"/>
        <w:spacing w:before="1"/>
        <w:ind w:left="260" w:right="212"/>
        <w:jc w:val="both"/>
      </w:pPr>
      <w:r>
        <w:t>Perceptions of safety are important in shaping a parent or carer’s decision to engage with a preschool. Qualitative research with parents and carers of preschool age children, across a number of Australian studies, highlights a range of different ways in which safety plays a role in either enabling or inhibiting preschool engagement for vulnerable families.</w:t>
      </w:r>
    </w:p>
    <w:p w14:paraId="1B432301" w14:textId="754F7EAB" w:rsidR="009F4205" w:rsidRDefault="009F4205">
      <w:pPr>
        <w:pStyle w:val="BodyText"/>
        <w:spacing w:before="1"/>
      </w:pPr>
    </w:p>
    <w:p w14:paraId="51865D03" w14:textId="77777777" w:rsidR="0098332C" w:rsidRDefault="002C2810" w:rsidP="00A303CB">
      <w:pPr>
        <w:pStyle w:val="ListParagraph"/>
        <w:numPr>
          <w:ilvl w:val="0"/>
          <w:numId w:val="13"/>
        </w:numPr>
        <w:tabs>
          <w:tab w:val="left" w:pos="981"/>
        </w:tabs>
        <w:rPr>
          <w:color w:val="001F5F"/>
        </w:rPr>
      </w:pPr>
      <w:r>
        <w:rPr>
          <w:color w:val="001F5F"/>
        </w:rPr>
        <w:t>Personal and family</w:t>
      </w:r>
      <w:r>
        <w:rPr>
          <w:color w:val="001F5F"/>
          <w:spacing w:val="-5"/>
        </w:rPr>
        <w:t xml:space="preserve"> </w:t>
      </w:r>
      <w:r>
        <w:rPr>
          <w:color w:val="001F5F"/>
        </w:rPr>
        <w:t>safety</w:t>
      </w:r>
    </w:p>
    <w:p w14:paraId="2AAB163B" w14:textId="77777777" w:rsidR="0098332C" w:rsidRDefault="002C2810">
      <w:pPr>
        <w:pStyle w:val="BodyText"/>
        <w:spacing w:before="1"/>
        <w:ind w:left="618" w:right="211"/>
        <w:jc w:val="both"/>
      </w:pPr>
      <w:r>
        <w:t>Research by Brennan et al (2014) highlights that for some families who did not enrol or participate in preschool services, a more immediate need to ensure a safe and secure family home and environment assumed a greater priority. Housing instability, financial insecurity and threats of violence, were all identified as factors that shaped a decision to not enrol in a preschool program. Pressing needs to organise secure, safe and affordable housing, quite naturally, assumed greater importance for parents and carers seeking to protect their</w:t>
      </w:r>
      <w:r>
        <w:rPr>
          <w:spacing w:val="-3"/>
        </w:rPr>
        <w:t xml:space="preserve"> </w:t>
      </w:r>
      <w:r>
        <w:t>children.</w:t>
      </w:r>
    </w:p>
    <w:p w14:paraId="00809C9F" w14:textId="77777777" w:rsidR="0098332C" w:rsidRDefault="0098332C">
      <w:pPr>
        <w:pStyle w:val="BodyText"/>
        <w:spacing w:before="11"/>
        <w:rPr>
          <w:sz w:val="21"/>
        </w:rPr>
      </w:pPr>
    </w:p>
    <w:p w14:paraId="6105224D" w14:textId="77777777" w:rsidR="0098332C" w:rsidRDefault="002C2810" w:rsidP="00A303CB">
      <w:pPr>
        <w:pStyle w:val="ListParagraph"/>
        <w:numPr>
          <w:ilvl w:val="0"/>
          <w:numId w:val="13"/>
        </w:numPr>
        <w:tabs>
          <w:tab w:val="left" w:pos="981"/>
        </w:tabs>
        <w:spacing w:line="252" w:lineRule="exact"/>
      </w:pPr>
      <w:r>
        <w:rPr>
          <w:color w:val="001F5F"/>
        </w:rPr>
        <w:t>Centre</w:t>
      </w:r>
      <w:r>
        <w:rPr>
          <w:color w:val="001F5F"/>
          <w:spacing w:val="-3"/>
        </w:rPr>
        <w:t xml:space="preserve"> </w:t>
      </w:r>
      <w:r>
        <w:rPr>
          <w:color w:val="001F5F"/>
        </w:rPr>
        <w:t>safety</w:t>
      </w:r>
    </w:p>
    <w:p w14:paraId="1D01DA10" w14:textId="77777777" w:rsidR="0098332C" w:rsidRDefault="002C2810">
      <w:pPr>
        <w:pStyle w:val="BodyText"/>
        <w:ind w:left="618" w:right="251"/>
      </w:pPr>
      <w:r>
        <w:t>Centre safety is important and pivotal in shaping a parent or carer’s decision to send a child to preschool (Grace R et al, 2014). This includes factors such as transport, physical layout of a centre, and the felt safety and security of the service and routine provided to children.</w:t>
      </w:r>
    </w:p>
    <w:p w14:paraId="6B1760F1" w14:textId="77777777" w:rsidR="0098332C" w:rsidRDefault="0098332C">
      <w:pPr>
        <w:pStyle w:val="BodyText"/>
        <w:spacing w:before="2"/>
      </w:pPr>
    </w:p>
    <w:p w14:paraId="7AEEE22D" w14:textId="77777777" w:rsidR="0098332C" w:rsidRDefault="002C2810" w:rsidP="00A303CB">
      <w:pPr>
        <w:pStyle w:val="ListParagraph"/>
        <w:numPr>
          <w:ilvl w:val="0"/>
          <w:numId w:val="13"/>
        </w:numPr>
        <w:tabs>
          <w:tab w:val="left" w:pos="981"/>
        </w:tabs>
        <w:spacing w:before="1" w:line="252" w:lineRule="exact"/>
        <w:ind w:hanging="361"/>
      </w:pPr>
      <w:r>
        <w:rPr>
          <w:color w:val="001F5F"/>
        </w:rPr>
        <w:t>Cultural</w:t>
      </w:r>
      <w:r>
        <w:rPr>
          <w:color w:val="001F5F"/>
          <w:spacing w:val="-1"/>
        </w:rPr>
        <w:t xml:space="preserve"> </w:t>
      </w:r>
      <w:r>
        <w:rPr>
          <w:color w:val="001F5F"/>
        </w:rPr>
        <w:t>safety</w:t>
      </w:r>
    </w:p>
    <w:p w14:paraId="40874291" w14:textId="5562994F" w:rsidR="0098332C" w:rsidRDefault="002C2810" w:rsidP="00934109">
      <w:pPr>
        <w:pStyle w:val="BodyText"/>
        <w:ind w:left="620" w:right="215"/>
        <w:jc w:val="both"/>
      </w:pPr>
      <w:r>
        <w:t>Cultural inclusion, or what might be termed cultural safety, is also a vital factor for many parents and carers in shaping their decision to commit to preschool learning (Krakouer J, 2016). A number of concerns have been raised by families which can be considered relevant to the notion of cultural safety including: a reassurance that an early learning environment is respectful of a family’s culture and language; whether a program provides sufficient opportunity for a child to feel acceptance and share culture; and the desire to</w:t>
      </w:r>
      <w:r w:rsidR="00934109">
        <w:t xml:space="preserve"> h</w:t>
      </w:r>
      <w:r>
        <w:t>ave children participate in and learn about other cultural experiences (Harrison et al, 2012).</w:t>
      </w:r>
    </w:p>
    <w:p w14:paraId="201196AF" w14:textId="77777777" w:rsidR="0098332C" w:rsidRDefault="0098332C">
      <w:pPr>
        <w:pStyle w:val="BodyText"/>
      </w:pPr>
    </w:p>
    <w:p w14:paraId="5DCE8187" w14:textId="77777777" w:rsidR="0098332C" w:rsidRDefault="002C2810" w:rsidP="00A303CB">
      <w:pPr>
        <w:pStyle w:val="ListParagraph"/>
        <w:numPr>
          <w:ilvl w:val="0"/>
          <w:numId w:val="13"/>
        </w:numPr>
        <w:tabs>
          <w:tab w:val="left" w:pos="981"/>
        </w:tabs>
        <w:ind w:hanging="361"/>
        <w:rPr>
          <w:color w:val="001F5F"/>
        </w:rPr>
      </w:pPr>
      <w:r>
        <w:rPr>
          <w:color w:val="001F5F"/>
        </w:rPr>
        <w:t>Economic safety</w:t>
      </w:r>
    </w:p>
    <w:p w14:paraId="564BFC98" w14:textId="26CC5142" w:rsidR="0098332C" w:rsidRDefault="002C2810">
      <w:pPr>
        <w:pStyle w:val="BodyText"/>
        <w:spacing w:before="1"/>
        <w:ind w:left="620" w:right="214"/>
        <w:jc w:val="both"/>
      </w:pPr>
      <w:r>
        <w:t>A more nuanced understanding of the economic factors that either inhibit or enhance access to preschool is also required.  Work situations of parents and carers change</w:t>
      </w:r>
      <w:r w:rsidR="006E638B">
        <w:t>, and</w:t>
      </w:r>
      <w:r>
        <w:t xml:space="preserve"> so too do the social circumstances of families. The policy and subsidy structures in place to facilitate access to preschool are often premised on static and dichotomous classifications (employed versus unemployed, welfare versus non-welfare dependent). Brennan et al (2014) note t</w:t>
      </w:r>
      <w:r w:rsidR="00E66D75">
        <w:t xml:space="preserve">hat absolute descriptions </w:t>
      </w:r>
      <w:r>
        <w:t>rarely apply to families who are living in circumstances of financial vulnerability and a state of flux impacts low income families and in turn their engagement with education and care services in the early</w:t>
      </w:r>
      <w:r>
        <w:rPr>
          <w:spacing w:val="-3"/>
        </w:rPr>
        <w:t xml:space="preserve"> </w:t>
      </w:r>
      <w:r>
        <w:t>years.</w:t>
      </w:r>
    </w:p>
    <w:p w14:paraId="3C264A48" w14:textId="77777777" w:rsidR="0098332C" w:rsidRDefault="0098332C">
      <w:pPr>
        <w:jc w:val="both"/>
        <w:sectPr w:rsidR="0098332C" w:rsidSect="00F205E7">
          <w:pgSz w:w="11910" w:h="16840"/>
          <w:pgMar w:top="1985" w:right="1220" w:bottom="920" w:left="1180" w:header="567" w:footer="730" w:gutter="0"/>
          <w:cols w:space="720"/>
        </w:sectPr>
      </w:pPr>
    </w:p>
    <w:p w14:paraId="23FC77B0" w14:textId="77777777" w:rsidR="0098332C" w:rsidRDefault="0098332C">
      <w:pPr>
        <w:pStyle w:val="BodyText"/>
        <w:rPr>
          <w:sz w:val="20"/>
        </w:rPr>
      </w:pPr>
    </w:p>
    <w:p w14:paraId="43147DA6" w14:textId="77777777" w:rsidR="00D464BF" w:rsidRDefault="002C2810" w:rsidP="00D464BF">
      <w:pPr>
        <w:pStyle w:val="Heading1"/>
        <w:spacing w:before="242"/>
        <w:jc w:val="both"/>
        <w:rPr>
          <w:color w:val="001F5F"/>
        </w:rPr>
      </w:pPr>
      <w:bookmarkStart w:id="31" w:name="_Toc75168399"/>
      <w:r>
        <w:rPr>
          <w:color w:val="001F5F"/>
        </w:rPr>
        <w:t>Part 2: Preschool across Australia</w:t>
      </w:r>
      <w:bookmarkStart w:id="32" w:name="_Toc27585805"/>
      <w:bookmarkStart w:id="33" w:name="_Toc27588220"/>
      <w:bookmarkEnd w:id="31"/>
    </w:p>
    <w:p w14:paraId="719111A1" w14:textId="77777777" w:rsidR="00D464BF" w:rsidRDefault="00D464BF" w:rsidP="00D464BF">
      <w:pPr>
        <w:pStyle w:val="Heading2"/>
      </w:pPr>
    </w:p>
    <w:p w14:paraId="42083ADA" w14:textId="1C580B4E" w:rsidR="0098332C" w:rsidRPr="00D464BF" w:rsidRDefault="002C2810" w:rsidP="00D464BF">
      <w:pPr>
        <w:pStyle w:val="Heading2"/>
        <w:ind w:left="260"/>
      </w:pPr>
      <w:bookmarkStart w:id="34" w:name="_Toc75168400"/>
      <w:r w:rsidRPr="00D464BF">
        <w:t>Policy Context - Universal Access to Early Childhood Education</w:t>
      </w:r>
      <w:bookmarkEnd w:id="32"/>
      <w:bookmarkEnd w:id="33"/>
      <w:bookmarkEnd w:id="34"/>
    </w:p>
    <w:p w14:paraId="50C69D67" w14:textId="77777777" w:rsidR="0098332C" w:rsidRDefault="0098332C">
      <w:pPr>
        <w:pStyle w:val="BodyText"/>
        <w:spacing w:before="3"/>
        <w:rPr>
          <w:b/>
        </w:rPr>
      </w:pPr>
    </w:p>
    <w:p w14:paraId="6E915AF2" w14:textId="494B3CF4" w:rsidR="0098332C" w:rsidRDefault="00E66D75">
      <w:pPr>
        <w:pStyle w:val="BodyText"/>
        <w:ind w:left="260" w:right="216"/>
        <w:jc w:val="both"/>
      </w:pPr>
      <w:r>
        <w:t>Universal Access to p</w:t>
      </w:r>
      <w:r w:rsidR="002C2810">
        <w:t>reschool is intended to ensure that a quality preschool program is available for all children in the year before full-time school. In the 2019/20 budget, the Australian Government committed $</w:t>
      </w:r>
      <w:r w:rsidR="005B02ED">
        <w:t>449.5</w:t>
      </w:r>
      <w:r w:rsidR="002C2810">
        <w:t xml:space="preserve"> million to extend the National Partnership on Universal Access to Early Childhood Education </w:t>
      </w:r>
      <w:r w:rsidR="00927FAE">
        <w:t xml:space="preserve">(ECE) </w:t>
      </w:r>
      <w:r w:rsidR="002C2810">
        <w:t xml:space="preserve">until the end of 2020. The funding is intended to ensure that every child will continue to have access to a quality preschool program for 600 hours (15 hours a week) in the year before </w:t>
      </w:r>
      <w:r w:rsidR="00A65D8F">
        <w:t>full-time</w:t>
      </w:r>
      <w:r w:rsidR="002C2810">
        <w:t xml:space="preserve"> schooling.</w:t>
      </w:r>
    </w:p>
    <w:p w14:paraId="595AF0A5" w14:textId="77777777" w:rsidR="0098332C" w:rsidRDefault="0098332C">
      <w:pPr>
        <w:pStyle w:val="BodyText"/>
      </w:pPr>
    </w:p>
    <w:p w14:paraId="10CED82A" w14:textId="7428B6E3" w:rsidR="0098332C" w:rsidRDefault="002C2810">
      <w:pPr>
        <w:pStyle w:val="BodyText"/>
        <w:ind w:left="260" w:right="214"/>
        <w:jc w:val="both"/>
      </w:pPr>
      <w:r>
        <w:t>While Australia has lagged behind comparable countries over recent decades, the Universal Access National Partnership (UANP) was a significant turning point. Investment from governments to provide all Australian children with access to 600 hours of preschool education in the year before full-time school has resulted in considerable change (Early Childhood Australia, 2017</w:t>
      </w:r>
      <w:r w:rsidR="00B2681A">
        <w:rPr>
          <w:sz w:val="20"/>
        </w:rPr>
        <w:t>)</w:t>
      </w:r>
      <w:r w:rsidR="00B2681A">
        <w:t>.</w:t>
      </w:r>
    </w:p>
    <w:p w14:paraId="6A477E26" w14:textId="77777777" w:rsidR="0098332C" w:rsidRDefault="0098332C">
      <w:pPr>
        <w:pStyle w:val="BodyText"/>
        <w:spacing w:before="1"/>
      </w:pPr>
    </w:p>
    <w:p w14:paraId="721885A8" w14:textId="1FCC7794" w:rsidR="0098332C" w:rsidRDefault="002C2810" w:rsidP="00934109">
      <w:pPr>
        <w:pStyle w:val="BodyText"/>
        <w:ind w:left="260" w:right="216"/>
        <w:jc w:val="both"/>
      </w:pPr>
      <w:r>
        <w:t>As noted elsewhere in this report, there is considerable evidence to demonstrate the developmental benefits of pa</w:t>
      </w:r>
      <w:r w:rsidR="00E66D75">
        <w:t>rticipation in high quality ECE</w:t>
      </w:r>
      <w:r>
        <w:t xml:space="preserve"> and in particular benefits for children from low socioeconomic backgrounds in high quality preschool programs. While recognising the intersections betwee</w:t>
      </w:r>
      <w:r w:rsidR="00E66D75">
        <w:t>n the two components of the ECE</w:t>
      </w:r>
      <w:r>
        <w:t xml:space="preserve"> service system, particularly from an end user perspective, the focus of this overview is on preschool service provision.</w:t>
      </w:r>
    </w:p>
    <w:p w14:paraId="0B252BCB" w14:textId="77777777" w:rsidR="0098332C" w:rsidRDefault="0098332C">
      <w:pPr>
        <w:pStyle w:val="BodyText"/>
        <w:spacing w:before="10"/>
        <w:rPr>
          <w:sz w:val="21"/>
        </w:rPr>
      </w:pPr>
    </w:p>
    <w:p w14:paraId="4F2C1874" w14:textId="77777777" w:rsidR="00934109" w:rsidRPr="00047F27" w:rsidRDefault="00934109" w:rsidP="00934109">
      <w:pPr>
        <w:ind w:left="284"/>
        <w:rPr>
          <w:b/>
          <w:color w:val="002060"/>
        </w:rPr>
      </w:pPr>
      <w:r w:rsidRPr="00047F27">
        <w:rPr>
          <w:b/>
          <w:color w:val="002060"/>
        </w:rPr>
        <w:t>Enrolment</w:t>
      </w:r>
    </w:p>
    <w:p w14:paraId="69B2FDDE" w14:textId="38A92A53" w:rsidR="00934109" w:rsidRDefault="00934109" w:rsidP="000B6A0A">
      <w:pPr>
        <w:ind w:left="284"/>
        <w:jc w:val="both"/>
        <w:rPr>
          <w:rFonts w:eastAsia="Times New Roman"/>
          <w:color w:val="000000"/>
        </w:rPr>
      </w:pPr>
      <w:r w:rsidRPr="00047F27">
        <w:rPr>
          <w:rFonts w:eastAsia="Times New Roman"/>
          <w:color w:val="000000"/>
        </w:rPr>
        <w:t xml:space="preserve">UANP arrangements </w:t>
      </w:r>
      <w:r w:rsidR="00764A9D">
        <w:rPr>
          <w:rFonts w:eastAsia="Times New Roman"/>
          <w:color w:val="000000"/>
        </w:rPr>
        <w:t>appear to have contributed to</w:t>
      </w:r>
      <w:r w:rsidRPr="00047F27">
        <w:rPr>
          <w:rFonts w:eastAsia="Times New Roman"/>
          <w:color w:val="000000"/>
        </w:rPr>
        <w:t xml:space="preserve"> hig</w:t>
      </w:r>
      <w:r w:rsidR="00764A9D">
        <w:rPr>
          <w:rFonts w:eastAsia="Times New Roman"/>
          <w:color w:val="000000"/>
        </w:rPr>
        <w:t>her p</w:t>
      </w:r>
      <w:r>
        <w:rPr>
          <w:rFonts w:eastAsia="Times New Roman"/>
          <w:color w:val="000000"/>
        </w:rPr>
        <w:t xml:space="preserve">reschool </w:t>
      </w:r>
      <w:r w:rsidRPr="00047F27">
        <w:rPr>
          <w:rFonts w:eastAsia="Times New Roman"/>
          <w:color w:val="000000"/>
        </w:rPr>
        <w:t xml:space="preserve">enrolment rates. </w:t>
      </w:r>
      <w:r>
        <w:rPr>
          <w:rFonts w:eastAsia="Times New Roman"/>
          <w:color w:val="000000"/>
        </w:rPr>
        <w:t xml:space="preserve"> </w:t>
      </w:r>
      <w:r w:rsidRPr="00047F27">
        <w:rPr>
          <w:rFonts w:eastAsia="Times New Roman"/>
          <w:color w:val="000000"/>
        </w:rPr>
        <w:t>In 2008, an estimated 77</w:t>
      </w:r>
      <w:r>
        <w:rPr>
          <w:rFonts w:eastAsia="Times New Roman"/>
          <w:color w:val="000000"/>
        </w:rPr>
        <w:t>%</w:t>
      </w:r>
      <w:r w:rsidRPr="00047F27">
        <w:rPr>
          <w:rFonts w:eastAsia="Times New Roman"/>
          <w:color w:val="000000"/>
        </w:rPr>
        <w:t xml:space="preserve"> of children were enrolled in a preschool program. </w:t>
      </w:r>
      <w:r>
        <w:rPr>
          <w:rFonts w:eastAsia="Times New Roman"/>
          <w:color w:val="000000"/>
        </w:rPr>
        <w:t xml:space="preserve"> </w:t>
      </w:r>
      <w:r w:rsidRPr="00047F27">
        <w:rPr>
          <w:rFonts w:eastAsia="Times New Roman"/>
          <w:color w:val="000000"/>
        </w:rPr>
        <w:t>By 2018, this had increased to an enrolment rate of 100</w:t>
      </w:r>
      <w:r>
        <w:rPr>
          <w:rFonts w:eastAsia="Times New Roman"/>
          <w:color w:val="000000"/>
        </w:rPr>
        <w:t>%</w:t>
      </w:r>
      <w:r w:rsidRPr="00047F27">
        <w:rPr>
          <w:rFonts w:eastAsia="Times New Roman"/>
          <w:color w:val="000000"/>
        </w:rPr>
        <w:t xml:space="preserve"> under the UANP. </w:t>
      </w:r>
      <w:r>
        <w:rPr>
          <w:rFonts w:eastAsia="Times New Roman"/>
          <w:color w:val="000000"/>
        </w:rPr>
        <w:t xml:space="preserve"> </w:t>
      </w:r>
      <w:r w:rsidRPr="00047F27">
        <w:rPr>
          <w:rFonts w:eastAsia="Times New Roman"/>
          <w:color w:val="000000"/>
        </w:rPr>
        <w:t xml:space="preserve">While this represents a significant achievement, this </w:t>
      </w:r>
      <w:r>
        <w:rPr>
          <w:rFonts w:eastAsia="Times New Roman"/>
          <w:color w:val="000000"/>
        </w:rPr>
        <w:t>is probably</w:t>
      </w:r>
      <w:r w:rsidRPr="00047F27">
        <w:rPr>
          <w:rFonts w:eastAsia="Times New Roman"/>
          <w:color w:val="000000"/>
        </w:rPr>
        <w:t xml:space="preserve"> an overestimate of enrolment in Australia</w:t>
      </w:r>
      <w:r w:rsidR="00754591">
        <w:rPr>
          <w:rFonts w:eastAsia="Times New Roman"/>
          <w:color w:val="000000"/>
        </w:rPr>
        <w:t xml:space="preserve"> for</w:t>
      </w:r>
      <w:r w:rsidR="00764A9D">
        <w:rPr>
          <w:rFonts w:eastAsia="Times New Roman"/>
          <w:color w:val="000000"/>
        </w:rPr>
        <w:t xml:space="preserve"> the reasons outlined below</w:t>
      </w:r>
      <w:r w:rsidRPr="00047F27">
        <w:rPr>
          <w:rFonts w:eastAsia="Times New Roman"/>
          <w:color w:val="000000"/>
        </w:rPr>
        <w:t>.</w:t>
      </w:r>
    </w:p>
    <w:p w14:paraId="3BF62054" w14:textId="77777777" w:rsidR="00934109" w:rsidRPr="00047F27" w:rsidRDefault="00934109" w:rsidP="000B6A0A">
      <w:pPr>
        <w:ind w:left="284"/>
        <w:rPr>
          <w:rFonts w:eastAsia="Times New Roman"/>
          <w:color w:val="000000"/>
        </w:rPr>
      </w:pPr>
    </w:p>
    <w:p w14:paraId="12C224CA" w14:textId="0741F335" w:rsidR="00934109" w:rsidRPr="00047F27" w:rsidRDefault="00934109" w:rsidP="000B6A0A">
      <w:pPr>
        <w:ind w:left="284"/>
        <w:jc w:val="both"/>
        <w:rPr>
          <w:rFonts w:eastAsia="Times New Roman"/>
          <w:color w:val="000000"/>
        </w:rPr>
      </w:pPr>
      <w:r w:rsidRPr="00047F27">
        <w:rPr>
          <w:rFonts w:eastAsia="Times New Roman"/>
          <w:color w:val="000000"/>
        </w:rPr>
        <w:t xml:space="preserve">In 2016, the ABS introduced a new method of calculating the number of children who were expected to be following their preschool year with </w:t>
      </w:r>
      <w:r w:rsidR="00A65D8F">
        <w:rPr>
          <w:rFonts w:eastAsia="Times New Roman"/>
          <w:color w:val="000000"/>
        </w:rPr>
        <w:t>full-time</w:t>
      </w:r>
      <w:r w:rsidRPr="00047F27">
        <w:rPr>
          <w:rFonts w:eastAsia="Times New Roman"/>
          <w:color w:val="000000"/>
        </w:rPr>
        <w:t xml:space="preserve"> school the next year.</w:t>
      </w:r>
      <w:r>
        <w:rPr>
          <w:rFonts w:eastAsia="Times New Roman"/>
          <w:color w:val="000000"/>
        </w:rPr>
        <w:t xml:space="preserve"> </w:t>
      </w:r>
      <w:r w:rsidRPr="00047F27">
        <w:rPr>
          <w:rFonts w:eastAsia="Times New Roman"/>
          <w:color w:val="000000"/>
        </w:rPr>
        <w:t xml:space="preserve"> It is called the state-specific Year Before Full</w:t>
      </w:r>
      <w:r w:rsidR="00E66D75">
        <w:rPr>
          <w:rFonts w:eastAsia="Times New Roman"/>
          <w:color w:val="000000"/>
        </w:rPr>
        <w:t>-</w:t>
      </w:r>
      <w:r w:rsidRPr="00047F27">
        <w:rPr>
          <w:rFonts w:eastAsia="Times New Roman"/>
          <w:color w:val="000000"/>
        </w:rPr>
        <w:t>Time Schooling (YBFS) and takes into account the preschool and school age entry provisions of the state and territory in which the child usually resides.</w:t>
      </w:r>
      <w:r>
        <w:rPr>
          <w:rFonts w:eastAsia="Times New Roman"/>
          <w:color w:val="000000"/>
        </w:rPr>
        <w:t xml:space="preserve"> </w:t>
      </w:r>
      <w:r w:rsidRPr="00047F27">
        <w:rPr>
          <w:rFonts w:eastAsia="Times New Roman"/>
          <w:color w:val="000000"/>
        </w:rPr>
        <w:t xml:space="preserve"> Th</w:t>
      </w:r>
      <w:r>
        <w:rPr>
          <w:rFonts w:eastAsia="Times New Roman"/>
          <w:color w:val="000000"/>
        </w:rPr>
        <w:t>is</w:t>
      </w:r>
      <w:r w:rsidRPr="00047F27">
        <w:rPr>
          <w:rFonts w:eastAsia="Times New Roman"/>
          <w:color w:val="000000"/>
        </w:rPr>
        <w:t xml:space="preserve"> alternative method of calculating the number of children in preschool under the UANP uses all 4 and 5 year olds enrolled in preschool as the numerator and the estimated residential populati</w:t>
      </w:r>
      <w:r w:rsidRPr="009C39B6">
        <w:rPr>
          <w:rFonts w:eastAsia="Times New Roman"/>
          <w:color w:val="000000"/>
        </w:rPr>
        <w:t>on of all 4 year olds as the denomin</w:t>
      </w:r>
      <w:r w:rsidRPr="00047F27">
        <w:rPr>
          <w:rFonts w:eastAsia="Times New Roman"/>
          <w:color w:val="000000"/>
        </w:rPr>
        <w:t>ator. The different populations in the numerator and denominator for this calculation often result in reported en</w:t>
      </w:r>
      <w:r w:rsidRPr="009C39B6">
        <w:rPr>
          <w:rFonts w:eastAsia="Times New Roman"/>
          <w:color w:val="000000"/>
        </w:rPr>
        <w:t>rolment rates above 100%</w:t>
      </w:r>
      <w:r w:rsidRPr="00047F27">
        <w:rPr>
          <w:rFonts w:eastAsia="Times New Roman"/>
          <w:color w:val="000000"/>
        </w:rPr>
        <w:t>.</w:t>
      </w:r>
    </w:p>
    <w:p w14:paraId="20A4FBD1" w14:textId="77777777" w:rsidR="00934109" w:rsidRDefault="00934109" w:rsidP="000B6A0A">
      <w:pPr>
        <w:ind w:left="284"/>
        <w:rPr>
          <w:rFonts w:eastAsia="Times New Roman"/>
          <w:color w:val="000000"/>
        </w:rPr>
      </w:pPr>
    </w:p>
    <w:p w14:paraId="3D0A0584" w14:textId="20420ACC" w:rsidR="00934109" w:rsidRDefault="00934109" w:rsidP="000B6A0A">
      <w:pPr>
        <w:ind w:left="284"/>
        <w:rPr>
          <w:rFonts w:eastAsia="Times New Roman"/>
          <w:color w:val="000000"/>
        </w:rPr>
      </w:pPr>
      <w:r w:rsidRPr="00047F27">
        <w:rPr>
          <w:rFonts w:eastAsia="Times New Roman"/>
          <w:color w:val="000000"/>
        </w:rPr>
        <w:t xml:space="preserve">The YBFS methodology shows that </w:t>
      </w:r>
      <w:r>
        <w:rPr>
          <w:rFonts w:eastAsia="Times New Roman"/>
          <w:color w:val="000000"/>
        </w:rPr>
        <w:t xml:space="preserve">in 2018, </w:t>
      </w:r>
      <w:r w:rsidRPr="00047F27">
        <w:rPr>
          <w:rFonts w:eastAsia="Times New Roman"/>
          <w:color w:val="000000"/>
        </w:rPr>
        <w:t>91</w:t>
      </w:r>
      <w:r>
        <w:rPr>
          <w:rFonts w:eastAsia="Times New Roman"/>
          <w:color w:val="000000"/>
        </w:rPr>
        <w:t>%</w:t>
      </w:r>
      <w:r w:rsidRPr="00047F27">
        <w:rPr>
          <w:rFonts w:eastAsia="Times New Roman"/>
          <w:color w:val="000000"/>
        </w:rPr>
        <w:t xml:space="preserve"> of children are enrolled, which </w:t>
      </w:r>
      <w:r>
        <w:rPr>
          <w:rFonts w:eastAsia="Times New Roman"/>
          <w:color w:val="000000"/>
        </w:rPr>
        <w:t>implies</w:t>
      </w:r>
      <w:r w:rsidRPr="00047F27">
        <w:rPr>
          <w:rFonts w:eastAsia="Times New Roman"/>
          <w:color w:val="000000"/>
        </w:rPr>
        <w:t xml:space="preserve"> that there is still one in ten children </w:t>
      </w:r>
      <w:r w:rsidRPr="009C39B6">
        <w:rPr>
          <w:rFonts w:eastAsia="Times New Roman"/>
          <w:color w:val="000000"/>
        </w:rPr>
        <w:t>missing out</w:t>
      </w:r>
      <w:r w:rsidRPr="00047F27">
        <w:rPr>
          <w:rFonts w:eastAsia="Times New Roman"/>
          <w:color w:val="000000"/>
        </w:rPr>
        <w:t>.</w:t>
      </w:r>
    </w:p>
    <w:p w14:paraId="7C49C19E" w14:textId="77777777" w:rsidR="00E500B9" w:rsidRDefault="00E500B9" w:rsidP="000B6A0A">
      <w:pPr>
        <w:pStyle w:val="BodyText"/>
        <w:rPr>
          <w:sz w:val="21"/>
        </w:rPr>
      </w:pPr>
    </w:p>
    <w:p w14:paraId="51379DB5" w14:textId="6667D2AE" w:rsidR="0098332C" w:rsidRDefault="002C2810" w:rsidP="000B6A0A">
      <w:pPr>
        <w:pStyle w:val="BodyText"/>
        <w:ind w:left="260" w:right="212"/>
        <w:jc w:val="both"/>
      </w:pPr>
      <w:r>
        <w:t>The representation of children enrolled in a preschool program in the year before full-time school who are from special needs groups, is similar to their representation in the community for Aboriginal and Torres Strait Islander children and children from remote and very remote areas. In contrast the representation of disadvantaged children (SEIFA IRSD Quintile 1), children from a non-English speaking background and children with a disability, is lower than their representation in the community (Productivity Commission, 2019).</w:t>
      </w:r>
    </w:p>
    <w:p w14:paraId="5DAA0FDB" w14:textId="77777777" w:rsidR="0098332C" w:rsidRDefault="0098332C">
      <w:pPr>
        <w:jc w:val="both"/>
        <w:sectPr w:rsidR="0098332C">
          <w:pgSz w:w="11910" w:h="16840"/>
          <w:pgMar w:top="1700" w:right="1220" w:bottom="920" w:left="1180" w:header="567" w:footer="730" w:gutter="0"/>
          <w:cols w:space="720"/>
        </w:sectPr>
      </w:pPr>
    </w:p>
    <w:p w14:paraId="602F1C00" w14:textId="77777777" w:rsidR="0098332C" w:rsidRDefault="0098332C">
      <w:pPr>
        <w:pStyle w:val="BodyText"/>
        <w:rPr>
          <w:sz w:val="20"/>
        </w:rPr>
      </w:pPr>
    </w:p>
    <w:p w14:paraId="0A5204DE" w14:textId="77777777" w:rsidR="0098332C" w:rsidRDefault="0098332C">
      <w:pPr>
        <w:pStyle w:val="BodyText"/>
        <w:spacing w:before="2"/>
      </w:pPr>
    </w:p>
    <w:p w14:paraId="07917C76" w14:textId="5FC4F790" w:rsidR="0098332C" w:rsidRDefault="002C2810">
      <w:pPr>
        <w:pStyle w:val="Heading3"/>
      </w:pPr>
      <w:bookmarkStart w:id="35" w:name="_Toc27585806"/>
      <w:bookmarkStart w:id="36" w:name="_Toc27588221"/>
      <w:bookmarkStart w:id="37" w:name="_Toc75168401"/>
      <w:r>
        <w:rPr>
          <w:color w:val="001F5F"/>
        </w:rPr>
        <w:t>Attendance at 600 hours per year</w:t>
      </w:r>
      <w:bookmarkEnd w:id="35"/>
      <w:bookmarkEnd w:id="36"/>
      <w:bookmarkEnd w:id="37"/>
    </w:p>
    <w:p w14:paraId="739D3C47" w14:textId="77777777" w:rsidR="009208D3" w:rsidRDefault="009208D3">
      <w:pPr>
        <w:ind w:left="260"/>
        <w:jc w:val="both"/>
        <w:rPr>
          <w:b/>
          <w:color w:val="001F5F"/>
          <w:sz w:val="20"/>
        </w:rPr>
      </w:pPr>
    </w:p>
    <w:p w14:paraId="4BAA4A33" w14:textId="40105B43" w:rsidR="009208D3" w:rsidRPr="00E66D75" w:rsidRDefault="009208D3" w:rsidP="000B6A0A">
      <w:pPr>
        <w:ind w:left="284"/>
        <w:jc w:val="both"/>
        <w:rPr>
          <w:rFonts w:ascii="Calibri" w:hAnsi="Calibri"/>
        </w:rPr>
      </w:pPr>
      <w:r>
        <w:t>The attendance data collected in the ABS National Collection (the Collection) is based on a reference period in August. For the purposes of the Collection, a child is considered to be attending if the child is enrolled in a preschool program and has attended the program for at least one hour during the reference period.</w:t>
      </w:r>
      <w:r w:rsidR="00E66D75">
        <w:rPr>
          <w:rFonts w:ascii="Calibri" w:hAnsi="Calibri"/>
        </w:rPr>
        <w:t xml:space="preserve"> </w:t>
      </w:r>
      <w:r>
        <w:t>The Collection date is the first Friday in August of each year. Some jurisdictions elect to adopt a two-week reference period that includes the census week.</w:t>
      </w:r>
    </w:p>
    <w:p w14:paraId="79D0107B" w14:textId="77777777" w:rsidR="00E66D75" w:rsidRDefault="00E66D75" w:rsidP="000B6A0A">
      <w:pPr>
        <w:ind w:left="284"/>
        <w:jc w:val="both"/>
      </w:pPr>
    </w:p>
    <w:p w14:paraId="5EED62FD" w14:textId="76C83617" w:rsidR="009208D3" w:rsidRDefault="009208D3" w:rsidP="000B6A0A">
      <w:pPr>
        <w:ind w:left="284"/>
        <w:jc w:val="both"/>
      </w:pPr>
      <w:r>
        <w:t>The reference week provides a snapshot of preschool attendance. It does not provide insight into the reasons why children are not attending (e.g. whether it is driven by explainable absences).</w:t>
      </w:r>
    </w:p>
    <w:p w14:paraId="2D4412DA" w14:textId="77777777" w:rsidR="009208D3" w:rsidRDefault="009208D3" w:rsidP="009208D3">
      <w:pPr>
        <w:ind w:left="284"/>
      </w:pPr>
    </w:p>
    <w:p w14:paraId="53FB634B" w14:textId="793AC8E7" w:rsidR="009208D3" w:rsidRDefault="009208D3" w:rsidP="003F3258">
      <w:pPr>
        <w:ind w:left="284"/>
        <w:jc w:val="both"/>
      </w:pPr>
      <w:r>
        <w:t>In regards to data provided through the child care system, under the new child care package, providers are required to report actual attendance times from 14 January 2019 (the first full C</w:t>
      </w:r>
      <w:r w:rsidR="00E66D75">
        <w:t xml:space="preserve">hild </w:t>
      </w:r>
      <w:r>
        <w:t>C</w:t>
      </w:r>
      <w:r w:rsidR="00E66D75">
        <w:t xml:space="preserve">are </w:t>
      </w:r>
      <w:r>
        <w:t>S</w:t>
      </w:r>
      <w:r w:rsidR="00E66D75">
        <w:t>ubsidy</w:t>
      </w:r>
      <w:r>
        <w:t xml:space="preserve"> fortnight in 2019), ensuring attendance in </w:t>
      </w:r>
      <w:r w:rsidR="00E66D75">
        <w:t xml:space="preserve">centre based day care </w:t>
      </w:r>
      <w:r>
        <w:t xml:space="preserve">is accurately recorded and consistently reported across jurisdictions. Previous data collected for children attending preschool through the child care system represented billable hours only, as opposed </w:t>
      </w:r>
      <w:r w:rsidR="003F3258">
        <w:t xml:space="preserve">to </w:t>
      </w:r>
      <w:r>
        <w:t>the actual attendance time for a child.</w:t>
      </w:r>
      <w:r w:rsidR="00682F65">
        <w:t xml:space="preserve"> </w:t>
      </w:r>
    </w:p>
    <w:p w14:paraId="5F3A45F8" w14:textId="2F39321C" w:rsidR="00AF0C14" w:rsidRDefault="00AF0C14" w:rsidP="003F3258">
      <w:pPr>
        <w:ind w:left="284"/>
        <w:jc w:val="both"/>
      </w:pPr>
    </w:p>
    <w:p w14:paraId="59611581" w14:textId="1E075A62" w:rsidR="0098332C" w:rsidRDefault="00AF0C14" w:rsidP="00D464BF">
      <w:pPr>
        <w:ind w:left="284"/>
        <w:jc w:val="both"/>
      </w:pPr>
      <w:r>
        <w:t>Until the new attendance reporting data under the child care system is made available, the most reliable data</w:t>
      </w:r>
      <w:r w:rsidR="0045389A">
        <w:t xml:space="preserve"> currently available is from the dedicated preschool sector.  </w:t>
      </w:r>
      <w:r w:rsidR="009208D3">
        <w:t>This data shows that while there has been a very significant increase in the proportion of children enrolled in a preschool program, including in the year before school and for 15 hours or more per week, many children are not attending at t</w:t>
      </w:r>
      <w:r w:rsidR="00D464BF">
        <w:t>his rate as shown in Table 2.</w:t>
      </w:r>
    </w:p>
    <w:p w14:paraId="1B232497" w14:textId="77777777" w:rsidR="00D464BF" w:rsidRPr="00D464BF" w:rsidRDefault="00D464BF" w:rsidP="00D464BF">
      <w:pPr>
        <w:ind w:left="284"/>
        <w:jc w:val="both"/>
      </w:pPr>
    </w:p>
    <w:p w14:paraId="26AB8501" w14:textId="77777777" w:rsidR="00301660" w:rsidRDefault="00301660" w:rsidP="00301660">
      <w:pPr>
        <w:ind w:left="260"/>
        <w:jc w:val="both"/>
        <w:rPr>
          <w:b/>
          <w:color w:val="001F5F"/>
          <w:sz w:val="20"/>
        </w:rPr>
      </w:pPr>
      <w:r>
        <w:rPr>
          <w:b/>
          <w:color w:val="001F5F"/>
          <w:sz w:val="20"/>
        </w:rPr>
        <w:t>Table 2: Overall enrolment and enrolment for at least 600 hours in preschool, for the year before full-time school, 2018</w:t>
      </w:r>
    </w:p>
    <w:p w14:paraId="1D1A3F99" w14:textId="77777777" w:rsidR="00301660" w:rsidRDefault="00301660" w:rsidP="00301660">
      <w:pPr>
        <w:ind w:left="260"/>
        <w:jc w:val="both"/>
        <w:rPr>
          <w:b/>
          <w:color w:val="001F5F"/>
          <w:sz w:val="20"/>
        </w:rPr>
      </w:pPr>
    </w:p>
    <w:tbl>
      <w:tblPr>
        <w:tblW w:w="9066"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849"/>
        <w:gridCol w:w="852"/>
        <w:gridCol w:w="849"/>
        <w:gridCol w:w="849"/>
        <w:gridCol w:w="847"/>
        <w:gridCol w:w="715"/>
        <w:gridCol w:w="849"/>
        <w:gridCol w:w="763"/>
        <w:gridCol w:w="938"/>
      </w:tblGrid>
      <w:tr w:rsidR="00301660" w14:paraId="43A813A3" w14:textId="77777777" w:rsidTr="00CD43BF">
        <w:trPr>
          <w:trHeight w:val="359"/>
        </w:trPr>
        <w:tc>
          <w:tcPr>
            <w:tcW w:w="1555" w:type="dxa"/>
          </w:tcPr>
          <w:p w14:paraId="130687F5" w14:textId="77777777" w:rsidR="00301660" w:rsidRDefault="00301660" w:rsidP="00CD43BF">
            <w:pPr>
              <w:pStyle w:val="TableParagraph"/>
              <w:ind w:left="0"/>
              <w:rPr>
                <w:rFonts w:ascii="Times New Roman"/>
                <w:sz w:val="20"/>
              </w:rPr>
            </w:pPr>
          </w:p>
        </w:tc>
        <w:tc>
          <w:tcPr>
            <w:tcW w:w="849" w:type="dxa"/>
          </w:tcPr>
          <w:p w14:paraId="7C9A7E65" w14:textId="77777777" w:rsidR="00301660" w:rsidRDefault="00301660" w:rsidP="00CD43BF">
            <w:pPr>
              <w:pStyle w:val="TableParagraph"/>
              <w:spacing w:before="6"/>
              <w:ind w:left="94" w:right="86"/>
              <w:jc w:val="center"/>
              <w:rPr>
                <w:b/>
                <w:sz w:val="20"/>
              </w:rPr>
            </w:pPr>
            <w:r>
              <w:rPr>
                <w:b/>
                <w:sz w:val="20"/>
              </w:rPr>
              <w:t>NSW</w:t>
            </w:r>
          </w:p>
        </w:tc>
        <w:tc>
          <w:tcPr>
            <w:tcW w:w="852" w:type="dxa"/>
          </w:tcPr>
          <w:p w14:paraId="4DEFD1F7" w14:textId="77777777" w:rsidR="00301660" w:rsidRDefault="00301660" w:rsidP="00CD43BF">
            <w:pPr>
              <w:pStyle w:val="TableParagraph"/>
              <w:spacing w:before="6"/>
              <w:ind w:left="99" w:right="90"/>
              <w:jc w:val="center"/>
              <w:rPr>
                <w:b/>
                <w:sz w:val="20"/>
              </w:rPr>
            </w:pPr>
            <w:r>
              <w:rPr>
                <w:b/>
                <w:sz w:val="20"/>
              </w:rPr>
              <w:t>VIC</w:t>
            </w:r>
          </w:p>
        </w:tc>
        <w:tc>
          <w:tcPr>
            <w:tcW w:w="849" w:type="dxa"/>
          </w:tcPr>
          <w:p w14:paraId="0456D284" w14:textId="77777777" w:rsidR="00301660" w:rsidRDefault="00301660" w:rsidP="00CD43BF">
            <w:pPr>
              <w:pStyle w:val="TableParagraph"/>
              <w:spacing w:before="6"/>
              <w:ind w:left="96" w:right="84"/>
              <w:jc w:val="center"/>
              <w:rPr>
                <w:b/>
                <w:sz w:val="20"/>
              </w:rPr>
            </w:pPr>
            <w:r>
              <w:rPr>
                <w:b/>
                <w:sz w:val="20"/>
              </w:rPr>
              <w:t>QLD</w:t>
            </w:r>
          </w:p>
        </w:tc>
        <w:tc>
          <w:tcPr>
            <w:tcW w:w="849" w:type="dxa"/>
          </w:tcPr>
          <w:p w14:paraId="11D6C701" w14:textId="77777777" w:rsidR="00301660" w:rsidRDefault="00301660" w:rsidP="00CD43BF">
            <w:pPr>
              <w:pStyle w:val="TableParagraph"/>
              <w:spacing w:before="6"/>
              <w:ind w:left="96" w:right="74"/>
              <w:jc w:val="center"/>
              <w:rPr>
                <w:b/>
                <w:sz w:val="20"/>
              </w:rPr>
            </w:pPr>
            <w:r>
              <w:rPr>
                <w:b/>
                <w:sz w:val="20"/>
              </w:rPr>
              <w:t>WA</w:t>
            </w:r>
          </w:p>
        </w:tc>
        <w:tc>
          <w:tcPr>
            <w:tcW w:w="847" w:type="dxa"/>
          </w:tcPr>
          <w:p w14:paraId="779D3BEA" w14:textId="77777777" w:rsidR="00301660" w:rsidRDefault="00301660" w:rsidP="00CD43BF">
            <w:pPr>
              <w:pStyle w:val="TableParagraph"/>
              <w:spacing w:before="6"/>
              <w:ind w:left="96" w:right="78"/>
              <w:jc w:val="center"/>
              <w:rPr>
                <w:b/>
                <w:sz w:val="20"/>
              </w:rPr>
            </w:pPr>
            <w:r>
              <w:rPr>
                <w:b/>
                <w:sz w:val="20"/>
              </w:rPr>
              <w:t>SA</w:t>
            </w:r>
          </w:p>
        </w:tc>
        <w:tc>
          <w:tcPr>
            <w:tcW w:w="715" w:type="dxa"/>
          </w:tcPr>
          <w:p w14:paraId="661075F1" w14:textId="77777777" w:rsidR="00301660" w:rsidRDefault="00301660" w:rsidP="00CD43BF">
            <w:pPr>
              <w:pStyle w:val="TableParagraph"/>
              <w:spacing w:before="6"/>
              <w:ind w:left="87" w:right="75"/>
              <w:jc w:val="center"/>
              <w:rPr>
                <w:b/>
                <w:sz w:val="20"/>
              </w:rPr>
            </w:pPr>
            <w:r>
              <w:rPr>
                <w:b/>
                <w:sz w:val="20"/>
              </w:rPr>
              <w:t>TAS</w:t>
            </w:r>
          </w:p>
        </w:tc>
        <w:tc>
          <w:tcPr>
            <w:tcW w:w="849" w:type="dxa"/>
          </w:tcPr>
          <w:p w14:paraId="20899B29" w14:textId="77777777" w:rsidR="00301660" w:rsidRDefault="00301660" w:rsidP="00CD43BF">
            <w:pPr>
              <w:pStyle w:val="TableParagraph"/>
              <w:spacing w:before="6"/>
              <w:ind w:left="94" w:right="86"/>
              <w:jc w:val="center"/>
              <w:rPr>
                <w:b/>
                <w:sz w:val="20"/>
              </w:rPr>
            </w:pPr>
            <w:r>
              <w:rPr>
                <w:b/>
                <w:sz w:val="20"/>
              </w:rPr>
              <w:t>ACT</w:t>
            </w:r>
          </w:p>
        </w:tc>
        <w:tc>
          <w:tcPr>
            <w:tcW w:w="763" w:type="dxa"/>
          </w:tcPr>
          <w:p w14:paraId="5A1229FE" w14:textId="77777777" w:rsidR="00301660" w:rsidRDefault="00301660" w:rsidP="00CD43BF">
            <w:pPr>
              <w:pStyle w:val="TableParagraph"/>
              <w:spacing w:before="6"/>
              <w:ind w:left="112" w:right="98"/>
              <w:jc w:val="center"/>
              <w:rPr>
                <w:b/>
                <w:sz w:val="20"/>
              </w:rPr>
            </w:pPr>
            <w:r>
              <w:rPr>
                <w:b/>
                <w:sz w:val="20"/>
              </w:rPr>
              <w:t>NT</w:t>
            </w:r>
          </w:p>
        </w:tc>
        <w:tc>
          <w:tcPr>
            <w:tcW w:w="938" w:type="dxa"/>
          </w:tcPr>
          <w:p w14:paraId="05E1D4A9" w14:textId="77777777" w:rsidR="00301660" w:rsidRDefault="00301660" w:rsidP="00CD43BF">
            <w:pPr>
              <w:pStyle w:val="TableParagraph"/>
              <w:spacing w:before="6"/>
              <w:ind w:left="86" w:right="74"/>
              <w:jc w:val="center"/>
              <w:rPr>
                <w:b/>
                <w:sz w:val="20"/>
              </w:rPr>
            </w:pPr>
            <w:r>
              <w:rPr>
                <w:b/>
                <w:sz w:val="20"/>
              </w:rPr>
              <w:t>AUS</w:t>
            </w:r>
          </w:p>
        </w:tc>
      </w:tr>
      <w:tr w:rsidR="00301660" w14:paraId="11D25BBA" w14:textId="77777777" w:rsidTr="00CD43BF">
        <w:trPr>
          <w:trHeight w:val="361"/>
        </w:trPr>
        <w:tc>
          <w:tcPr>
            <w:tcW w:w="1555" w:type="dxa"/>
          </w:tcPr>
          <w:p w14:paraId="22062F8E" w14:textId="77777777" w:rsidR="00301660" w:rsidRDefault="00301660" w:rsidP="00CD43BF">
            <w:pPr>
              <w:pStyle w:val="TableParagraph"/>
              <w:spacing w:before="9"/>
              <w:rPr>
                <w:b/>
                <w:sz w:val="20"/>
              </w:rPr>
            </w:pPr>
            <w:r>
              <w:rPr>
                <w:b/>
                <w:sz w:val="20"/>
              </w:rPr>
              <w:t>All Enrolled</w:t>
            </w:r>
          </w:p>
        </w:tc>
        <w:tc>
          <w:tcPr>
            <w:tcW w:w="849" w:type="dxa"/>
          </w:tcPr>
          <w:p w14:paraId="625B1E2B" w14:textId="77777777" w:rsidR="00301660" w:rsidRPr="0017525D" w:rsidRDefault="00301660" w:rsidP="00CD43BF">
            <w:pPr>
              <w:jc w:val="right"/>
              <w:rPr>
                <w:sz w:val="20"/>
                <w:szCs w:val="20"/>
              </w:rPr>
            </w:pPr>
            <w:r w:rsidRPr="0017525D">
              <w:rPr>
                <w:sz w:val="20"/>
                <w:szCs w:val="20"/>
              </w:rPr>
              <w:t>90,661</w:t>
            </w:r>
          </w:p>
        </w:tc>
        <w:tc>
          <w:tcPr>
            <w:tcW w:w="852" w:type="dxa"/>
          </w:tcPr>
          <w:p w14:paraId="5CA151AE" w14:textId="77777777" w:rsidR="00301660" w:rsidRPr="0017525D" w:rsidRDefault="00301660" w:rsidP="00CD43BF">
            <w:pPr>
              <w:jc w:val="right"/>
              <w:rPr>
                <w:sz w:val="20"/>
                <w:szCs w:val="20"/>
              </w:rPr>
            </w:pPr>
            <w:r w:rsidRPr="0017525D">
              <w:rPr>
                <w:sz w:val="20"/>
                <w:szCs w:val="20"/>
              </w:rPr>
              <w:t>79,120</w:t>
            </w:r>
          </w:p>
        </w:tc>
        <w:tc>
          <w:tcPr>
            <w:tcW w:w="849" w:type="dxa"/>
          </w:tcPr>
          <w:p w14:paraId="33C755EE" w14:textId="77777777" w:rsidR="00301660" w:rsidRPr="0017525D" w:rsidRDefault="00301660" w:rsidP="00CD43BF">
            <w:pPr>
              <w:jc w:val="right"/>
              <w:rPr>
                <w:sz w:val="20"/>
                <w:szCs w:val="20"/>
              </w:rPr>
            </w:pPr>
            <w:r w:rsidRPr="0017525D">
              <w:rPr>
                <w:sz w:val="20"/>
                <w:szCs w:val="20"/>
              </w:rPr>
              <w:t>58,409</w:t>
            </w:r>
          </w:p>
        </w:tc>
        <w:tc>
          <w:tcPr>
            <w:tcW w:w="849" w:type="dxa"/>
          </w:tcPr>
          <w:p w14:paraId="01385D83" w14:textId="77777777" w:rsidR="00301660" w:rsidRPr="0017525D" w:rsidRDefault="00301660" w:rsidP="00CD43BF">
            <w:pPr>
              <w:jc w:val="right"/>
              <w:rPr>
                <w:sz w:val="20"/>
                <w:szCs w:val="20"/>
              </w:rPr>
            </w:pPr>
            <w:r w:rsidRPr="0017525D">
              <w:rPr>
                <w:sz w:val="20"/>
                <w:szCs w:val="20"/>
              </w:rPr>
              <w:t>33,831</w:t>
            </w:r>
          </w:p>
        </w:tc>
        <w:tc>
          <w:tcPr>
            <w:tcW w:w="847" w:type="dxa"/>
          </w:tcPr>
          <w:p w14:paraId="6A681A18" w14:textId="77777777" w:rsidR="00301660" w:rsidRPr="0017525D" w:rsidRDefault="00301660" w:rsidP="00CD43BF">
            <w:pPr>
              <w:jc w:val="right"/>
              <w:rPr>
                <w:sz w:val="20"/>
                <w:szCs w:val="20"/>
              </w:rPr>
            </w:pPr>
            <w:r w:rsidRPr="0017525D">
              <w:rPr>
                <w:sz w:val="20"/>
                <w:szCs w:val="20"/>
              </w:rPr>
              <w:t>19,723</w:t>
            </w:r>
          </w:p>
        </w:tc>
        <w:tc>
          <w:tcPr>
            <w:tcW w:w="715" w:type="dxa"/>
          </w:tcPr>
          <w:p w14:paraId="36BDEAB4" w14:textId="77777777" w:rsidR="00301660" w:rsidRPr="0017525D" w:rsidRDefault="00301660" w:rsidP="00CD43BF">
            <w:pPr>
              <w:jc w:val="right"/>
              <w:rPr>
                <w:sz w:val="20"/>
                <w:szCs w:val="20"/>
              </w:rPr>
            </w:pPr>
            <w:r w:rsidRPr="0017525D">
              <w:rPr>
                <w:sz w:val="20"/>
                <w:szCs w:val="20"/>
              </w:rPr>
              <w:t>6,238</w:t>
            </w:r>
          </w:p>
        </w:tc>
        <w:tc>
          <w:tcPr>
            <w:tcW w:w="849" w:type="dxa"/>
          </w:tcPr>
          <w:p w14:paraId="2EE1D47B" w14:textId="77777777" w:rsidR="00301660" w:rsidRPr="0017525D" w:rsidRDefault="00301660" w:rsidP="00CD43BF">
            <w:pPr>
              <w:jc w:val="right"/>
              <w:rPr>
                <w:sz w:val="20"/>
                <w:szCs w:val="20"/>
              </w:rPr>
            </w:pPr>
            <w:r w:rsidRPr="0017525D">
              <w:rPr>
                <w:sz w:val="20"/>
                <w:szCs w:val="20"/>
              </w:rPr>
              <w:t>5,699</w:t>
            </w:r>
          </w:p>
        </w:tc>
        <w:tc>
          <w:tcPr>
            <w:tcW w:w="763" w:type="dxa"/>
          </w:tcPr>
          <w:p w14:paraId="28A14B67" w14:textId="77777777" w:rsidR="00301660" w:rsidRPr="0017525D" w:rsidRDefault="00301660" w:rsidP="00CD43BF">
            <w:pPr>
              <w:jc w:val="right"/>
              <w:rPr>
                <w:sz w:val="20"/>
                <w:szCs w:val="20"/>
              </w:rPr>
            </w:pPr>
            <w:r w:rsidRPr="0017525D">
              <w:rPr>
                <w:sz w:val="20"/>
                <w:szCs w:val="20"/>
              </w:rPr>
              <w:t>3,220</w:t>
            </w:r>
          </w:p>
        </w:tc>
        <w:tc>
          <w:tcPr>
            <w:tcW w:w="938" w:type="dxa"/>
          </w:tcPr>
          <w:p w14:paraId="4ED6644A" w14:textId="77777777" w:rsidR="00301660" w:rsidRPr="0017525D" w:rsidRDefault="00301660" w:rsidP="00CD43BF">
            <w:pPr>
              <w:jc w:val="right"/>
              <w:rPr>
                <w:sz w:val="20"/>
                <w:szCs w:val="20"/>
              </w:rPr>
            </w:pPr>
            <w:r w:rsidRPr="0017525D">
              <w:rPr>
                <w:sz w:val="20"/>
                <w:szCs w:val="20"/>
              </w:rPr>
              <w:t>296,932</w:t>
            </w:r>
          </w:p>
        </w:tc>
      </w:tr>
      <w:tr w:rsidR="00301660" w14:paraId="695081C4" w14:textId="77777777" w:rsidTr="00CD43BF">
        <w:trPr>
          <w:trHeight w:val="359"/>
        </w:trPr>
        <w:tc>
          <w:tcPr>
            <w:tcW w:w="1555" w:type="dxa"/>
          </w:tcPr>
          <w:p w14:paraId="4E15B72D" w14:textId="77777777" w:rsidR="00301660" w:rsidRDefault="00301660" w:rsidP="00CD43BF">
            <w:pPr>
              <w:pStyle w:val="TableParagraph"/>
              <w:spacing w:before="6"/>
              <w:rPr>
                <w:b/>
                <w:sz w:val="20"/>
              </w:rPr>
            </w:pPr>
            <w:r>
              <w:rPr>
                <w:b/>
                <w:w w:val="99"/>
                <w:sz w:val="20"/>
              </w:rPr>
              <w:t>%</w:t>
            </w:r>
          </w:p>
        </w:tc>
        <w:tc>
          <w:tcPr>
            <w:tcW w:w="849" w:type="dxa"/>
          </w:tcPr>
          <w:p w14:paraId="32211390" w14:textId="77777777" w:rsidR="00301660" w:rsidRPr="0017525D" w:rsidRDefault="00301660" w:rsidP="00CD43BF">
            <w:pPr>
              <w:jc w:val="right"/>
              <w:rPr>
                <w:sz w:val="20"/>
                <w:szCs w:val="20"/>
              </w:rPr>
            </w:pPr>
            <w:r w:rsidRPr="0017525D">
              <w:rPr>
                <w:sz w:val="20"/>
                <w:szCs w:val="20"/>
              </w:rPr>
              <w:t>84.4</w:t>
            </w:r>
          </w:p>
        </w:tc>
        <w:tc>
          <w:tcPr>
            <w:tcW w:w="852" w:type="dxa"/>
          </w:tcPr>
          <w:p w14:paraId="39F84977" w14:textId="77777777" w:rsidR="00301660" w:rsidRPr="0017525D" w:rsidRDefault="00301660" w:rsidP="00CD43BF">
            <w:pPr>
              <w:jc w:val="right"/>
              <w:rPr>
                <w:sz w:val="20"/>
                <w:szCs w:val="20"/>
              </w:rPr>
            </w:pPr>
            <w:r w:rsidRPr="0017525D">
              <w:rPr>
                <w:sz w:val="20"/>
                <w:szCs w:val="20"/>
              </w:rPr>
              <w:t>94.2</w:t>
            </w:r>
          </w:p>
        </w:tc>
        <w:tc>
          <w:tcPr>
            <w:tcW w:w="849" w:type="dxa"/>
          </w:tcPr>
          <w:p w14:paraId="05271F05" w14:textId="77777777" w:rsidR="00301660" w:rsidRPr="0017525D" w:rsidRDefault="00301660" w:rsidP="00CD43BF">
            <w:pPr>
              <w:jc w:val="right"/>
              <w:rPr>
                <w:sz w:val="20"/>
                <w:szCs w:val="20"/>
              </w:rPr>
            </w:pPr>
            <w:r w:rsidRPr="0017525D">
              <w:rPr>
                <w:sz w:val="20"/>
                <w:szCs w:val="20"/>
              </w:rPr>
              <w:t>90.1</w:t>
            </w:r>
          </w:p>
        </w:tc>
        <w:tc>
          <w:tcPr>
            <w:tcW w:w="849" w:type="dxa"/>
          </w:tcPr>
          <w:p w14:paraId="48DDAC8D" w14:textId="77777777" w:rsidR="00301660" w:rsidRPr="0017525D" w:rsidRDefault="00301660" w:rsidP="00CD43BF">
            <w:pPr>
              <w:jc w:val="right"/>
              <w:rPr>
                <w:sz w:val="20"/>
                <w:szCs w:val="20"/>
              </w:rPr>
            </w:pPr>
            <w:r w:rsidRPr="0017525D">
              <w:rPr>
                <w:sz w:val="20"/>
                <w:szCs w:val="20"/>
              </w:rPr>
              <w:t>98.8</w:t>
            </w:r>
          </w:p>
        </w:tc>
        <w:tc>
          <w:tcPr>
            <w:tcW w:w="847" w:type="dxa"/>
          </w:tcPr>
          <w:p w14:paraId="7B317DBA" w14:textId="77777777" w:rsidR="00301660" w:rsidRPr="0017525D" w:rsidRDefault="00301660" w:rsidP="00CD43BF">
            <w:pPr>
              <w:jc w:val="right"/>
              <w:rPr>
                <w:sz w:val="20"/>
                <w:szCs w:val="20"/>
              </w:rPr>
            </w:pPr>
            <w:r w:rsidRPr="0017525D">
              <w:rPr>
                <w:sz w:val="20"/>
                <w:szCs w:val="20"/>
              </w:rPr>
              <w:t>97.0</w:t>
            </w:r>
          </w:p>
        </w:tc>
        <w:tc>
          <w:tcPr>
            <w:tcW w:w="715" w:type="dxa"/>
          </w:tcPr>
          <w:p w14:paraId="34B146FA" w14:textId="77777777" w:rsidR="00301660" w:rsidRPr="0017525D" w:rsidRDefault="00301660" w:rsidP="00CD43BF">
            <w:pPr>
              <w:jc w:val="right"/>
              <w:rPr>
                <w:sz w:val="20"/>
                <w:szCs w:val="20"/>
              </w:rPr>
            </w:pPr>
            <w:r w:rsidRPr="0017525D">
              <w:rPr>
                <w:sz w:val="20"/>
                <w:szCs w:val="20"/>
              </w:rPr>
              <w:t>100.0</w:t>
            </w:r>
          </w:p>
        </w:tc>
        <w:tc>
          <w:tcPr>
            <w:tcW w:w="849" w:type="dxa"/>
          </w:tcPr>
          <w:p w14:paraId="0FFCA8C9" w14:textId="77777777" w:rsidR="00301660" w:rsidRPr="0017525D" w:rsidRDefault="00301660" w:rsidP="00CD43BF">
            <w:pPr>
              <w:jc w:val="right"/>
              <w:rPr>
                <w:sz w:val="20"/>
                <w:szCs w:val="20"/>
              </w:rPr>
            </w:pPr>
            <w:r w:rsidRPr="0017525D">
              <w:rPr>
                <w:sz w:val="20"/>
                <w:szCs w:val="20"/>
              </w:rPr>
              <w:t>100.0</w:t>
            </w:r>
          </w:p>
        </w:tc>
        <w:tc>
          <w:tcPr>
            <w:tcW w:w="763" w:type="dxa"/>
          </w:tcPr>
          <w:p w14:paraId="6AE3D0D4" w14:textId="77777777" w:rsidR="00301660" w:rsidRPr="0017525D" w:rsidRDefault="00301660" w:rsidP="00CD43BF">
            <w:pPr>
              <w:jc w:val="right"/>
              <w:rPr>
                <w:sz w:val="20"/>
                <w:szCs w:val="20"/>
              </w:rPr>
            </w:pPr>
            <w:r w:rsidRPr="0017525D">
              <w:rPr>
                <w:sz w:val="20"/>
                <w:szCs w:val="20"/>
              </w:rPr>
              <w:t>89.7</w:t>
            </w:r>
          </w:p>
        </w:tc>
        <w:tc>
          <w:tcPr>
            <w:tcW w:w="938" w:type="dxa"/>
          </w:tcPr>
          <w:p w14:paraId="40CF3C7E" w14:textId="77777777" w:rsidR="00301660" w:rsidRPr="0017525D" w:rsidRDefault="00301660" w:rsidP="00CD43BF">
            <w:pPr>
              <w:jc w:val="right"/>
              <w:rPr>
                <w:sz w:val="20"/>
                <w:szCs w:val="20"/>
              </w:rPr>
            </w:pPr>
            <w:r w:rsidRPr="0017525D">
              <w:rPr>
                <w:sz w:val="20"/>
                <w:szCs w:val="20"/>
              </w:rPr>
              <w:t>91.0</w:t>
            </w:r>
          </w:p>
        </w:tc>
      </w:tr>
      <w:tr w:rsidR="00301660" w14:paraId="04C52802" w14:textId="77777777" w:rsidTr="00CD43BF">
        <w:trPr>
          <w:trHeight w:val="600"/>
        </w:trPr>
        <w:tc>
          <w:tcPr>
            <w:tcW w:w="1555" w:type="dxa"/>
          </w:tcPr>
          <w:p w14:paraId="508F2DCB" w14:textId="77777777" w:rsidR="00301660" w:rsidRDefault="00301660" w:rsidP="00CD43BF">
            <w:pPr>
              <w:pStyle w:val="TableParagraph"/>
              <w:spacing w:before="6" w:line="249" w:lineRule="auto"/>
              <w:ind w:right="228"/>
              <w:rPr>
                <w:b/>
                <w:sz w:val="20"/>
              </w:rPr>
            </w:pPr>
            <w:r>
              <w:rPr>
                <w:b/>
                <w:sz w:val="20"/>
              </w:rPr>
              <w:t>Enrolled 600 hours</w:t>
            </w:r>
          </w:p>
        </w:tc>
        <w:tc>
          <w:tcPr>
            <w:tcW w:w="849" w:type="dxa"/>
          </w:tcPr>
          <w:p w14:paraId="1FDCACAD" w14:textId="77777777" w:rsidR="00301660" w:rsidRPr="0017525D" w:rsidRDefault="00301660" w:rsidP="00CD43BF">
            <w:pPr>
              <w:jc w:val="right"/>
              <w:rPr>
                <w:sz w:val="20"/>
                <w:szCs w:val="20"/>
              </w:rPr>
            </w:pPr>
            <w:r w:rsidRPr="0017525D">
              <w:rPr>
                <w:sz w:val="20"/>
                <w:szCs w:val="20"/>
              </w:rPr>
              <w:t>84,760</w:t>
            </w:r>
          </w:p>
        </w:tc>
        <w:tc>
          <w:tcPr>
            <w:tcW w:w="852" w:type="dxa"/>
          </w:tcPr>
          <w:p w14:paraId="6FD919D9" w14:textId="77777777" w:rsidR="00301660" w:rsidRPr="0017525D" w:rsidRDefault="00301660" w:rsidP="00CD43BF">
            <w:pPr>
              <w:jc w:val="right"/>
              <w:rPr>
                <w:sz w:val="20"/>
                <w:szCs w:val="20"/>
              </w:rPr>
            </w:pPr>
            <w:r w:rsidRPr="0017525D">
              <w:rPr>
                <w:sz w:val="20"/>
                <w:szCs w:val="20"/>
              </w:rPr>
              <w:t>77,785</w:t>
            </w:r>
          </w:p>
        </w:tc>
        <w:tc>
          <w:tcPr>
            <w:tcW w:w="849" w:type="dxa"/>
          </w:tcPr>
          <w:p w14:paraId="76C19217" w14:textId="77777777" w:rsidR="00301660" w:rsidRPr="0017525D" w:rsidRDefault="00301660" w:rsidP="00CD43BF">
            <w:pPr>
              <w:jc w:val="right"/>
              <w:rPr>
                <w:sz w:val="20"/>
                <w:szCs w:val="20"/>
              </w:rPr>
            </w:pPr>
            <w:r w:rsidRPr="0017525D">
              <w:rPr>
                <w:sz w:val="20"/>
                <w:szCs w:val="20"/>
              </w:rPr>
              <w:t>56,606</w:t>
            </w:r>
          </w:p>
        </w:tc>
        <w:tc>
          <w:tcPr>
            <w:tcW w:w="849" w:type="dxa"/>
          </w:tcPr>
          <w:p w14:paraId="7B0E6AB9" w14:textId="77777777" w:rsidR="00301660" w:rsidRPr="0017525D" w:rsidRDefault="00301660" w:rsidP="00CD43BF">
            <w:pPr>
              <w:jc w:val="right"/>
              <w:rPr>
                <w:sz w:val="20"/>
                <w:szCs w:val="20"/>
              </w:rPr>
            </w:pPr>
            <w:r w:rsidRPr="0017525D">
              <w:rPr>
                <w:sz w:val="20"/>
                <w:szCs w:val="20"/>
              </w:rPr>
              <w:t>33,066</w:t>
            </w:r>
          </w:p>
        </w:tc>
        <w:tc>
          <w:tcPr>
            <w:tcW w:w="847" w:type="dxa"/>
          </w:tcPr>
          <w:p w14:paraId="73212A79" w14:textId="77777777" w:rsidR="00301660" w:rsidRPr="0017525D" w:rsidRDefault="00301660" w:rsidP="00CD43BF">
            <w:pPr>
              <w:jc w:val="right"/>
              <w:rPr>
                <w:sz w:val="20"/>
                <w:szCs w:val="20"/>
              </w:rPr>
            </w:pPr>
            <w:r w:rsidRPr="0017525D">
              <w:rPr>
                <w:sz w:val="20"/>
                <w:szCs w:val="20"/>
              </w:rPr>
              <w:t>19,434</w:t>
            </w:r>
          </w:p>
        </w:tc>
        <w:tc>
          <w:tcPr>
            <w:tcW w:w="715" w:type="dxa"/>
          </w:tcPr>
          <w:p w14:paraId="5A675A1E" w14:textId="77777777" w:rsidR="00301660" w:rsidRPr="0017525D" w:rsidRDefault="00301660" w:rsidP="00CD43BF">
            <w:pPr>
              <w:jc w:val="right"/>
              <w:rPr>
                <w:sz w:val="20"/>
                <w:szCs w:val="20"/>
              </w:rPr>
            </w:pPr>
            <w:r w:rsidRPr="0017525D">
              <w:rPr>
                <w:sz w:val="20"/>
                <w:szCs w:val="20"/>
              </w:rPr>
              <w:t>6,198</w:t>
            </w:r>
          </w:p>
        </w:tc>
        <w:tc>
          <w:tcPr>
            <w:tcW w:w="849" w:type="dxa"/>
          </w:tcPr>
          <w:p w14:paraId="49F91BF8" w14:textId="77777777" w:rsidR="00301660" w:rsidRPr="0017525D" w:rsidRDefault="00301660" w:rsidP="00CD43BF">
            <w:pPr>
              <w:jc w:val="right"/>
              <w:rPr>
                <w:sz w:val="20"/>
                <w:szCs w:val="20"/>
              </w:rPr>
            </w:pPr>
            <w:r w:rsidRPr="0017525D">
              <w:rPr>
                <w:sz w:val="20"/>
                <w:szCs w:val="20"/>
              </w:rPr>
              <w:t>5,603</w:t>
            </w:r>
          </w:p>
        </w:tc>
        <w:tc>
          <w:tcPr>
            <w:tcW w:w="763" w:type="dxa"/>
          </w:tcPr>
          <w:p w14:paraId="74B2E896" w14:textId="77777777" w:rsidR="00301660" w:rsidRPr="0017525D" w:rsidRDefault="00301660" w:rsidP="00CD43BF">
            <w:pPr>
              <w:jc w:val="right"/>
              <w:rPr>
                <w:sz w:val="20"/>
                <w:szCs w:val="20"/>
              </w:rPr>
            </w:pPr>
            <w:r w:rsidRPr="0017525D">
              <w:rPr>
                <w:sz w:val="20"/>
                <w:szCs w:val="20"/>
              </w:rPr>
              <w:t>3,155</w:t>
            </w:r>
          </w:p>
        </w:tc>
        <w:tc>
          <w:tcPr>
            <w:tcW w:w="938" w:type="dxa"/>
          </w:tcPr>
          <w:p w14:paraId="0E91A720" w14:textId="77777777" w:rsidR="00301660" w:rsidRPr="0017525D" w:rsidRDefault="00301660" w:rsidP="00CD43BF">
            <w:pPr>
              <w:jc w:val="right"/>
              <w:rPr>
                <w:sz w:val="20"/>
                <w:szCs w:val="20"/>
              </w:rPr>
            </w:pPr>
            <w:r w:rsidRPr="0017525D">
              <w:rPr>
                <w:sz w:val="20"/>
                <w:szCs w:val="20"/>
              </w:rPr>
              <w:t>286,641</w:t>
            </w:r>
          </w:p>
        </w:tc>
      </w:tr>
      <w:tr w:rsidR="00301660" w14:paraId="4BC8D33D" w14:textId="77777777" w:rsidTr="00CD43BF">
        <w:trPr>
          <w:trHeight w:val="359"/>
        </w:trPr>
        <w:tc>
          <w:tcPr>
            <w:tcW w:w="1555" w:type="dxa"/>
          </w:tcPr>
          <w:p w14:paraId="1A9C7CBE" w14:textId="77777777" w:rsidR="00301660" w:rsidRDefault="00301660" w:rsidP="00CD43BF">
            <w:pPr>
              <w:pStyle w:val="TableParagraph"/>
              <w:spacing w:before="6"/>
              <w:rPr>
                <w:b/>
                <w:sz w:val="20"/>
              </w:rPr>
            </w:pPr>
            <w:r>
              <w:rPr>
                <w:b/>
                <w:w w:val="99"/>
                <w:sz w:val="20"/>
              </w:rPr>
              <w:t>%</w:t>
            </w:r>
          </w:p>
        </w:tc>
        <w:tc>
          <w:tcPr>
            <w:tcW w:w="849" w:type="dxa"/>
          </w:tcPr>
          <w:p w14:paraId="006A385B" w14:textId="77777777" w:rsidR="00301660" w:rsidRPr="0017525D" w:rsidRDefault="00301660" w:rsidP="00CD43BF">
            <w:pPr>
              <w:jc w:val="right"/>
              <w:rPr>
                <w:sz w:val="20"/>
                <w:szCs w:val="20"/>
              </w:rPr>
            </w:pPr>
            <w:r w:rsidRPr="0017525D">
              <w:rPr>
                <w:sz w:val="20"/>
                <w:szCs w:val="20"/>
              </w:rPr>
              <w:t>93.5</w:t>
            </w:r>
          </w:p>
        </w:tc>
        <w:tc>
          <w:tcPr>
            <w:tcW w:w="852" w:type="dxa"/>
          </w:tcPr>
          <w:p w14:paraId="0600986F" w14:textId="77777777" w:rsidR="00301660" w:rsidRPr="0017525D" w:rsidRDefault="00301660" w:rsidP="00CD43BF">
            <w:pPr>
              <w:jc w:val="right"/>
              <w:rPr>
                <w:sz w:val="20"/>
                <w:szCs w:val="20"/>
              </w:rPr>
            </w:pPr>
            <w:r w:rsidRPr="0017525D">
              <w:rPr>
                <w:sz w:val="20"/>
                <w:szCs w:val="20"/>
              </w:rPr>
              <w:t>98.3</w:t>
            </w:r>
          </w:p>
        </w:tc>
        <w:tc>
          <w:tcPr>
            <w:tcW w:w="849" w:type="dxa"/>
          </w:tcPr>
          <w:p w14:paraId="5FE49598" w14:textId="77777777" w:rsidR="00301660" w:rsidRPr="0017525D" w:rsidRDefault="00301660" w:rsidP="00CD43BF">
            <w:pPr>
              <w:jc w:val="right"/>
              <w:rPr>
                <w:sz w:val="20"/>
                <w:szCs w:val="20"/>
              </w:rPr>
            </w:pPr>
            <w:r w:rsidRPr="0017525D">
              <w:rPr>
                <w:sz w:val="20"/>
                <w:szCs w:val="20"/>
              </w:rPr>
              <w:t>96.9</w:t>
            </w:r>
          </w:p>
        </w:tc>
        <w:tc>
          <w:tcPr>
            <w:tcW w:w="849" w:type="dxa"/>
          </w:tcPr>
          <w:p w14:paraId="5F4BC131" w14:textId="77777777" w:rsidR="00301660" w:rsidRPr="0017525D" w:rsidRDefault="00301660" w:rsidP="00CD43BF">
            <w:pPr>
              <w:jc w:val="right"/>
              <w:rPr>
                <w:sz w:val="20"/>
                <w:szCs w:val="20"/>
              </w:rPr>
            </w:pPr>
            <w:r w:rsidRPr="0017525D">
              <w:rPr>
                <w:sz w:val="20"/>
                <w:szCs w:val="20"/>
              </w:rPr>
              <w:t>97.7</w:t>
            </w:r>
          </w:p>
        </w:tc>
        <w:tc>
          <w:tcPr>
            <w:tcW w:w="847" w:type="dxa"/>
          </w:tcPr>
          <w:p w14:paraId="783F4EA3" w14:textId="77777777" w:rsidR="00301660" w:rsidRPr="0017525D" w:rsidRDefault="00301660" w:rsidP="00CD43BF">
            <w:pPr>
              <w:jc w:val="right"/>
              <w:rPr>
                <w:sz w:val="20"/>
                <w:szCs w:val="20"/>
              </w:rPr>
            </w:pPr>
            <w:r w:rsidRPr="0017525D">
              <w:rPr>
                <w:sz w:val="20"/>
                <w:szCs w:val="20"/>
              </w:rPr>
              <w:t>98.5</w:t>
            </w:r>
          </w:p>
        </w:tc>
        <w:tc>
          <w:tcPr>
            <w:tcW w:w="715" w:type="dxa"/>
          </w:tcPr>
          <w:p w14:paraId="2FB8BB40" w14:textId="77777777" w:rsidR="00301660" w:rsidRPr="0017525D" w:rsidRDefault="00301660" w:rsidP="00CD43BF">
            <w:pPr>
              <w:jc w:val="right"/>
              <w:rPr>
                <w:sz w:val="20"/>
                <w:szCs w:val="20"/>
              </w:rPr>
            </w:pPr>
            <w:r w:rsidRPr="0017525D">
              <w:rPr>
                <w:sz w:val="20"/>
                <w:szCs w:val="20"/>
              </w:rPr>
              <w:t>99.4</w:t>
            </w:r>
          </w:p>
        </w:tc>
        <w:tc>
          <w:tcPr>
            <w:tcW w:w="849" w:type="dxa"/>
          </w:tcPr>
          <w:p w14:paraId="5CF45FCA" w14:textId="77777777" w:rsidR="00301660" w:rsidRPr="0017525D" w:rsidRDefault="00301660" w:rsidP="00CD43BF">
            <w:pPr>
              <w:jc w:val="right"/>
              <w:rPr>
                <w:sz w:val="20"/>
                <w:szCs w:val="20"/>
              </w:rPr>
            </w:pPr>
            <w:r w:rsidRPr="0017525D">
              <w:rPr>
                <w:sz w:val="20"/>
                <w:szCs w:val="20"/>
              </w:rPr>
              <w:t>98.3</w:t>
            </w:r>
          </w:p>
        </w:tc>
        <w:tc>
          <w:tcPr>
            <w:tcW w:w="763" w:type="dxa"/>
          </w:tcPr>
          <w:p w14:paraId="260BA48C" w14:textId="77777777" w:rsidR="00301660" w:rsidRPr="0017525D" w:rsidRDefault="00301660" w:rsidP="00CD43BF">
            <w:pPr>
              <w:jc w:val="right"/>
              <w:rPr>
                <w:sz w:val="20"/>
                <w:szCs w:val="20"/>
              </w:rPr>
            </w:pPr>
            <w:r w:rsidRPr="0017525D">
              <w:rPr>
                <w:sz w:val="20"/>
                <w:szCs w:val="20"/>
              </w:rPr>
              <w:t>98.0</w:t>
            </w:r>
          </w:p>
        </w:tc>
        <w:tc>
          <w:tcPr>
            <w:tcW w:w="938" w:type="dxa"/>
          </w:tcPr>
          <w:p w14:paraId="27B4525F" w14:textId="77777777" w:rsidR="00301660" w:rsidRPr="0017525D" w:rsidRDefault="00301660" w:rsidP="00CD43BF">
            <w:pPr>
              <w:jc w:val="right"/>
              <w:rPr>
                <w:sz w:val="20"/>
                <w:szCs w:val="20"/>
              </w:rPr>
            </w:pPr>
            <w:r w:rsidRPr="0017525D">
              <w:rPr>
                <w:sz w:val="20"/>
                <w:szCs w:val="20"/>
              </w:rPr>
              <w:t>96.5</w:t>
            </w:r>
          </w:p>
        </w:tc>
      </w:tr>
      <w:tr w:rsidR="008E70A6" w14:paraId="26620657" w14:textId="77777777" w:rsidTr="00F35492">
        <w:trPr>
          <w:trHeight w:val="842"/>
        </w:trPr>
        <w:tc>
          <w:tcPr>
            <w:tcW w:w="1555" w:type="dxa"/>
          </w:tcPr>
          <w:p w14:paraId="725CA4FF" w14:textId="77777777" w:rsidR="008E70A6" w:rsidRDefault="008E70A6" w:rsidP="008E70A6">
            <w:pPr>
              <w:pStyle w:val="TableParagraph"/>
              <w:spacing w:before="9" w:line="249" w:lineRule="auto"/>
              <w:ind w:right="415"/>
              <w:rPr>
                <w:b/>
                <w:sz w:val="20"/>
              </w:rPr>
            </w:pPr>
            <w:r>
              <w:rPr>
                <w:b/>
                <w:w w:val="95"/>
                <w:sz w:val="20"/>
              </w:rPr>
              <w:t xml:space="preserve">Vulnerable </w:t>
            </w:r>
            <w:r>
              <w:rPr>
                <w:b/>
                <w:sz w:val="20"/>
              </w:rPr>
              <w:t>children % enrolled for 600 hours</w:t>
            </w:r>
          </w:p>
        </w:tc>
        <w:tc>
          <w:tcPr>
            <w:tcW w:w="849" w:type="dxa"/>
            <w:vAlign w:val="center"/>
          </w:tcPr>
          <w:p w14:paraId="6732C2AB" w14:textId="77777777" w:rsidR="008E70A6" w:rsidRPr="0017525D" w:rsidRDefault="008E70A6" w:rsidP="008E70A6">
            <w:pPr>
              <w:jc w:val="right"/>
              <w:rPr>
                <w:sz w:val="20"/>
                <w:szCs w:val="20"/>
              </w:rPr>
            </w:pPr>
            <w:r w:rsidRPr="00F35492">
              <w:rPr>
                <w:sz w:val="20"/>
                <w:szCs w:val="20"/>
              </w:rPr>
              <w:t>90.0</w:t>
            </w:r>
          </w:p>
        </w:tc>
        <w:tc>
          <w:tcPr>
            <w:tcW w:w="852" w:type="dxa"/>
            <w:vAlign w:val="center"/>
          </w:tcPr>
          <w:p w14:paraId="21631A07" w14:textId="77777777" w:rsidR="008E70A6" w:rsidRPr="0017525D" w:rsidRDefault="008E70A6" w:rsidP="008E70A6">
            <w:pPr>
              <w:jc w:val="right"/>
              <w:rPr>
                <w:sz w:val="20"/>
                <w:szCs w:val="20"/>
              </w:rPr>
            </w:pPr>
            <w:r w:rsidRPr="00F35492">
              <w:rPr>
                <w:sz w:val="20"/>
                <w:szCs w:val="20"/>
              </w:rPr>
              <w:t>98.5</w:t>
            </w:r>
          </w:p>
        </w:tc>
        <w:tc>
          <w:tcPr>
            <w:tcW w:w="849" w:type="dxa"/>
            <w:vAlign w:val="center"/>
          </w:tcPr>
          <w:p w14:paraId="71EA3457" w14:textId="77777777" w:rsidR="008E70A6" w:rsidRPr="0017525D" w:rsidRDefault="008E70A6" w:rsidP="008E70A6">
            <w:pPr>
              <w:jc w:val="right"/>
              <w:rPr>
                <w:sz w:val="20"/>
                <w:szCs w:val="20"/>
              </w:rPr>
            </w:pPr>
            <w:r w:rsidRPr="00F35492">
              <w:rPr>
                <w:sz w:val="20"/>
                <w:szCs w:val="20"/>
              </w:rPr>
              <w:t>96.0</w:t>
            </w:r>
          </w:p>
        </w:tc>
        <w:tc>
          <w:tcPr>
            <w:tcW w:w="849" w:type="dxa"/>
            <w:vAlign w:val="center"/>
          </w:tcPr>
          <w:p w14:paraId="40E6D77B" w14:textId="77777777" w:rsidR="008E70A6" w:rsidRPr="0017525D" w:rsidRDefault="008E70A6" w:rsidP="008E70A6">
            <w:pPr>
              <w:jc w:val="right"/>
              <w:rPr>
                <w:sz w:val="20"/>
                <w:szCs w:val="20"/>
              </w:rPr>
            </w:pPr>
            <w:r w:rsidRPr="00F35492">
              <w:rPr>
                <w:sz w:val="20"/>
                <w:szCs w:val="20"/>
              </w:rPr>
              <w:t>98.4</w:t>
            </w:r>
          </w:p>
        </w:tc>
        <w:tc>
          <w:tcPr>
            <w:tcW w:w="847" w:type="dxa"/>
            <w:vAlign w:val="center"/>
          </w:tcPr>
          <w:p w14:paraId="72E5567B" w14:textId="77777777" w:rsidR="008E70A6" w:rsidRPr="0017525D" w:rsidRDefault="008E70A6" w:rsidP="008E70A6">
            <w:pPr>
              <w:jc w:val="right"/>
              <w:rPr>
                <w:sz w:val="20"/>
                <w:szCs w:val="20"/>
              </w:rPr>
            </w:pPr>
            <w:r w:rsidRPr="00F35492">
              <w:rPr>
                <w:sz w:val="20"/>
                <w:szCs w:val="20"/>
              </w:rPr>
              <w:t>99.0</w:t>
            </w:r>
          </w:p>
        </w:tc>
        <w:tc>
          <w:tcPr>
            <w:tcW w:w="715" w:type="dxa"/>
            <w:vAlign w:val="center"/>
          </w:tcPr>
          <w:p w14:paraId="6333B3DA" w14:textId="77777777" w:rsidR="008E70A6" w:rsidRPr="0017525D" w:rsidRDefault="008E70A6" w:rsidP="008E70A6">
            <w:pPr>
              <w:jc w:val="right"/>
              <w:rPr>
                <w:sz w:val="20"/>
                <w:szCs w:val="20"/>
              </w:rPr>
            </w:pPr>
            <w:r w:rsidRPr="00F35492">
              <w:rPr>
                <w:sz w:val="20"/>
                <w:szCs w:val="20"/>
              </w:rPr>
              <w:t>99.7</w:t>
            </w:r>
          </w:p>
        </w:tc>
        <w:tc>
          <w:tcPr>
            <w:tcW w:w="849" w:type="dxa"/>
            <w:vAlign w:val="center"/>
          </w:tcPr>
          <w:p w14:paraId="5187A61C" w14:textId="77777777" w:rsidR="008E70A6" w:rsidRPr="0017525D" w:rsidRDefault="008E70A6" w:rsidP="008E70A6">
            <w:pPr>
              <w:jc w:val="right"/>
              <w:rPr>
                <w:sz w:val="20"/>
                <w:szCs w:val="20"/>
              </w:rPr>
            </w:pPr>
            <w:r w:rsidRPr="00F35492">
              <w:rPr>
                <w:sz w:val="20"/>
                <w:szCs w:val="20"/>
              </w:rPr>
              <w:t>100.0</w:t>
            </w:r>
          </w:p>
        </w:tc>
        <w:tc>
          <w:tcPr>
            <w:tcW w:w="763" w:type="dxa"/>
            <w:vAlign w:val="center"/>
          </w:tcPr>
          <w:p w14:paraId="5BFC59EF" w14:textId="77777777" w:rsidR="008E70A6" w:rsidRPr="0017525D" w:rsidRDefault="008E70A6" w:rsidP="008E70A6">
            <w:pPr>
              <w:jc w:val="right"/>
              <w:rPr>
                <w:sz w:val="20"/>
                <w:szCs w:val="20"/>
              </w:rPr>
            </w:pPr>
            <w:r w:rsidRPr="00F35492">
              <w:rPr>
                <w:sz w:val="20"/>
                <w:szCs w:val="20"/>
              </w:rPr>
              <w:t>98.0</w:t>
            </w:r>
          </w:p>
        </w:tc>
        <w:tc>
          <w:tcPr>
            <w:tcW w:w="938" w:type="dxa"/>
            <w:vAlign w:val="center"/>
          </w:tcPr>
          <w:p w14:paraId="7B1316E3" w14:textId="77777777" w:rsidR="008E70A6" w:rsidRPr="0017525D" w:rsidRDefault="008E70A6" w:rsidP="008E70A6">
            <w:pPr>
              <w:jc w:val="right"/>
              <w:rPr>
                <w:sz w:val="20"/>
                <w:szCs w:val="20"/>
              </w:rPr>
            </w:pPr>
            <w:r w:rsidRPr="00F35492">
              <w:rPr>
                <w:sz w:val="20"/>
                <w:szCs w:val="20"/>
              </w:rPr>
              <w:t>95.4</w:t>
            </w:r>
          </w:p>
        </w:tc>
      </w:tr>
    </w:tbl>
    <w:p w14:paraId="199A0575" w14:textId="20E28BF6" w:rsidR="00301660" w:rsidRPr="00F35492" w:rsidRDefault="00301660" w:rsidP="00301660">
      <w:pPr>
        <w:ind w:left="260"/>
        <w:jc w:val="both"/>
        <w:rPr>
          <w:sz w:val="18"/>
          <w:szCs w:val="18"/>
        </w:rPr>
      </w:pPr>
      <w:r w:rsidRPr="00F35492">
        <w:rPr>
          <w:sz w:val="18"/>
          <w:szCs w:val="18"/>
        </w:rPr>
        <w:t>Source: ABS Preschool Education, Australia</w:t>
      </w:r>
      <w:r w:rsidR="009C12D4">
        <w:rPr>
          <w:sz w:val="18"/>
          <w:szCs w:val="18"/>
        </w:rPr>
        <w:t>, 2019</w:t>
      </w:r>
      <w:r w:rsidRPr="00F35492">
        <w:rPr>
          <w:sz w:val="18"/>
          <w:szCs w:val="18"/>
        </w:rPr>
        <w:t xml:space="preserve"> (cat. no. 4240.0) </w:t>
      </w:r>
    </w:p>
    <w:p w14:paraId="44D028C7" w14:textId="77777777" w:rsidR="005B131A" w:rsidRPr="00F35492" w:rsidRDefault="005B131A" w:rsidP="005B131A">
      <w:pPr>
        <w:ind w:left="260"/>
        <w:jc w:val="both"/>
        <w:rPr>
          <w:sz w:val="18"/>
          <w:szCs w:val="18"/>
        </w:rPr>
      </w:pPr>
      <w:r w:rsidRPr="00F35492">
        <w:rPr>
          <w:sz w:val="18"/>
          <w:szCs w:val="18"/>
        </w:rPr>
        <w:t>Note: Vulnerable and disadvantaged is measured as SEIFA Quintile 1 which is a geographical index of relative socio-economic disadvantage produced by the ABS. Figures are unreliable for the ACT which is in a very small geographical area.</w:t>
      </w:r>
    </w:p>
    <w:p w14:paraId="00B93AE1" w14:textId="77777777" w:rsidR="005B131A" w:rsidRDefault="005B131A" w:rsidP="00301660">
      <w:pPr>
        <w:ind w:left="260"/>
        <w:jc w:val="both"/>
        <w:rPr>
          <w:b/>
          <w:sz w:val="20"/>
        </w:rPr>
      </w:pPr>
    </w:p>
    <w:p w14:paraId="7027C501" w14:textId="628C5EEA" w:rsidR="00E500B9" w:rsidRDefault="0045389A" w:rsidP="00D464BF">
      <w:pPr>
        <w:pStyle w:val="BodyText"/>
        <w:spacing w:before="2"/>
        <w:ind w:left="260" w:right="221"/>
        <w:jc w:val="both"/>
      </w:pPr>
      <w:r>
        <w:t>It is important to note that although this is the most reliable available data,</w:t>
      </w:r>
      <w:r w:rsidR="00EA0125" w:rsidRPr="00682F65">
        <w:t xml:space="preserve"> the dedicated preschool sector</w:t>
      </w:r>
      <w:r w:rsidR="00EA0125" w:rsidRPr="009208D3">
        <w:t xml:space="preserve"> which account</w:t>
      </w:r>
      <w:r w:rsidR="00301660" w:rsidRPr="009208D3">
        <w:t>s for just over 40 per cent</w:t>
      </w:r>
      <w:r w:rsidR="00EA0125" w:rsidRPr="009208D3">
        <w:t xml:space="preserve"> of the total preschoo</w:t>
      </w:r>
      <w:r w:rsidR="00301660" w:rsidRPr="009208D3">
        <w:t>l sector. The attendance rate for at least 600 hours per year is just over 70 per cent, as shown in Table 3.</w:t>
      </w:r>
    </w:p>
    <w:p w14:paraId="75D25D4C" w14:textId="63702B95" w:rsidR="003F3258" w:rsidRDefault="003F3258">
      <w:pPr>
        <w:rPr>
          <w:b/>
          <w:color w:val="001F5F"/>
          <w:sz w:val="20"/>
        </w:rPr>
      </w:pPr>
      <w:r>
        <w:rPr>
          <w:b/>
          <w:color w:val="001F5F"/>
          <w:sz w:val="20"/>
        </w:rPr>
        <w:br w:type="page"/>
      </w:r>
    </w:p>
    <w:p w14:paraId="6144D309" w14:textId="1D3EB16D" w:rsidR="009F4205" w:rsidRDefault="009F4205">
      <w:pPr>
        <w:rPr>
          <w:b/>
          <w:color w:val="001F5F"/>
          <w:sz w:val="20"/>
        </w:rPr>
      </w:pPr>
    </w:p>
    <w:p w14:paraId="2548AD17" w14:textId="03213DD3" w:rsidR="00BF2083" w:rsidRDefault="00BF2083" w:rsidP="00BF2083">
      <w:pPr>
        <w:ind w:left="260"/>
        <w:jc w:val="both"/>
        <w:rPr>
          <w:b/>
          <w:bCs/>
          <w:color w:val="001F5F"/>
          <w:sz w:val="20"/>
          <w:szCs w:val="20"/>
        </w:rPr>
      </w:pPr>
      <w:r w:rsidRPr="00DF52BA">
        <w:rPr>
          <w:b/>
          <w:bCs/>
          <w:color w:val="001F5F"/>
          <w:sz w:val="20"/>
          <w:szCs w:val="20"/>
        </w:rPr>
        <w:t>Table 3: Attendance</w:t>
      </w:r>
      <w:r>
        <w:rPr>
          <w:b/>
          <w:bCs/>
          <w:color w:val="001F5F"/>
          <w:sz w:val="20"/>
          <w:szCs w:val="20"/>
        </w:rPr>
        <w:t xml:space="preserve"> for at least 600 hours in preschool for the year before full-time school, 2018 – Dedicated Preschools only.</w:t>
      </w:r>
    </w:p>
    <w:p w14:paraId="2D4D6C72" w14:textId="77777777" w:rsidR="00DE4E8C" w:rsidRDefault="00DE4E8C" w:rsidP="00BF2083">
      <w:pPr>
        <w:ind w:left="260"/>
        <w:jc w:val="both"/>
        <w:rPr>
          <w:rFonts w:eastAsiaTheme="minorHAnsi"/>
          <w:b/>
          <w:bCs/>
          <w:sz w:val="20"/>
          <w:szCs w:val="20"/>
          <w:lang w:bidi="ar-SA"/>
        </w:rPr>
      </w:pPr>
    </w:p>
    <w:tbl>
      <w:tblPr>
        <w:tblW w:w="0" w:type="dxa"/>
        <w:tblInd w:w="157" w:type="dxa"/>
        <w:tblCellMar>
          <w:left w:w="0" w:type="dxa"/>
          <w:right w:w="0" w:type="dxa"/>
        </w:tblCellMar>
        <w:tblLook w:val="04A0" w:firstRow="1" w:lastRow="0" w:firstColumn="1" w:lastColumn="0" w:noHBand="0" w:noVBand="1"/>
      </w:tblPr>
      <w:tblGrid>
        <w:gridCol w:w="1681"/>
        <w:gridCol w:w="723"/>
        <w:gridCol w:w="852"/>
        <w:gridCol w:w="849"/>
        <w:gridCol w:w="849"/>
        <w:gridCol w:w="847"/>
        <w:gridCol w:w="715"/>
        <w:gridCol w:w="849"/>
        <w:gridCol w:w="763"/>
        <w:gridCol w:w="938"/>
      </w:tblGrid>
      <w:tr w:rsidR="00BF2083" w14:paraId="6B4A6091" w14:textId="77777777" w:rsidTr="00BF2083">
        <w:trPr>
          <w:trHeight w:val="359"/>
        </w:trPr>
        <w:tc>
          <w:tcPr>
            <w:tcW w:w="1681" w:type="dxa"/>
            <w:tcBorders>
              <w:top w:val="single" w:sz="8" w:space="0" w:color="000000"/>
              <w:left w:val="single" w:sz="8" w:space="0" w:color="000000"/>
              <w:bottom w:val="single" w:sz="8" w:space="0" w:color="000000"/>
              <w:right w:val="single" w:sz="8" w:space="0" w:color="000000"/>
            </w:tcBorders>
          </w:tcPr>
          <w:p w14:paraId="70251322" w14:textId="77777777" w:rsidR="00BF2083" w:rsidRDefault="00BF2083">
            <w:pPr>
              <w:pStyle w:val="TableParagraph"/>
              <w:spacing w:line="276" w:lineRule="auto"/>
              <w:ind w:left="0"/>
              <w:rPr>
                <w:rFonts w:ascii="Times New Roman" w:hAnsi="Times New Roman" w:cs="Times New Roman"/>
                <w:sz w:val="20"/>
                <w:szCs w:val="20"/>
                <w:lang w:eastAsia="en-US"/>
              </w:rPr>
            </w:pPr>
          </w:p>
        </w:tc>
        <w:tc>
          <w:tcPr>
            <w:tcW w:w="723" w:type="dxa"/>
            <w:tcBorders>
              <w:top w:val="single" w:sz="8" w:space="0" w:color="000000"/>
              <w:left w:val="nil"/>
              <w:bottom w:val="single" w:sz="8" w:space="0" w:color="000000"/>
              <w:right w:val="single" w:sz="8" w:space="0" w:color="000000"/>
            </w:tcBorders>
            <w:hideMark/>
          </w:tcPr>
          <w:p w14:paraId="595C0001" w14:textId="77777777" w:rsidR="00BF2083" w:rsidRDefault="00BF2083">
            <w:pPr>
              <w:pStyle w:val="TableParagraph"/>
              <w:spacing w:before="6" w:line="276" w:lineRule="auto"/>
              <w:ind w:left="94" w:right="86"/>
              <w:jc w:val="center"/>
              <w:rPr>
                <w:b/>
                <w:bCs/>
                <w:sz w:val="20"/>
                <w:szCs w:val="20"/>
                <w:lang w:eastAsia="en-US"/>
              </w:rPr>
            </w:pPr>
            <w:r>
              <w:rPr>
                <w:b/>
                <w:bCs/>
                <w:sz w:val="20"/>
                <w:szCs w:val="20"/>
                <w:lang w:eastAsia="en-US"/>
              </w:rPr>
              <w:t>NSW</w:t>
            </w:r>
          </w:p>
        </w:tc>
        <w:tc>
          <w:tcPr>
            <w:tcW w:w="852" w:type="dxa"/>
            <w:tcBorders>
              <w:top w:val="single" w:sz="8" w:space="0" w:color="000000"/>
              <w:left w:val="nil"/>
              <w:bottom w:val="single" w:sz="8" w:space="0" w:color="000000"/>
              <w:right w:val="single" w:sz="8" w:space="0" w:color="000000"/>
            </w:tcBorders>
            <w:hideMark/>
          </w:tcPr>
          <w:p w14:paraId="3978FB8F" w14:textId="77777777" w:rsidR="00BF2083" w:rsidRDefault="00BF2083">
            <w:pPr>
              <w:pStyle w:val="TableParagraph"/>
              <w:spacing w:before="6" w:line="276" w:lineRule="auto"/>
              <w:ind w:left="99" w:right="90"/>
              <w:jc w:val="center"/>
              <w:rPr>
                <w:b/>
                <w:bCs/>
                <w:sz w:val="20"/>
                <w:szCs w:val="20"/>
                <w:lang w:eastAsia="en-US"/>
              </w:rPr>
            </w:pPr>
            <w:r>
              <w:rPr>
                <w:b/>
                <w:bCs/>
                <w:sz w:val="20"/>
                <w:szCs w:val="20"/>
                <w:lang w:eastAsia="en-US"/>
              </w:rPr>
              <w:t>VIC</w:t>
            </w:r>
          </w:p>
        </w:tc>
        <w:tc>
          <w:tcPr>
            <w:tcW w:w="849" w:type="dxa"/>
            <w:tcBorders>
              <w:top w:val="single" w:sz="8" w:space="0" w:color="000000"/>
              <w:left w:val="nil"/>
              <w:bottom w:val="single" w:sz="8" w:space="0" w:color="000000"/>
              <w:right w:val="single" w:sz="8" w:space="0" w:color="000000"/>
            </w:tcBorders>
            <w:hideMark/>
          </w:tcPr>
          <w:p w14:paraId="71576494" w14:textId="77777777" w:rsidR="00BF2083" w:rsidRDefault="00BF2083">
            <w:pPr>
              <w:pStyle w:val="TableParagraph"/>
              <w:spacing w:before="6" w:line="276" w:lineRule="auto"/>
              <w:ind w:left="96" w:right="84"/>
              <w:jc w:val="center"/>
              <w:rPr>
                <w:b/>
                <w:bCs/>
                <w:sz w:val="20"/>
                <w:szCs w:val="20"/>
                <w:lang w:eastAsia="en-US"/>
              </w:rPr>
            </w:pPr>
            <w:r>
              <w:rPr>
                <w:b/>
                <w:bCs/>
                <w:sz w:val="20"/>
                <w:szCs w:val="20"/>
                <w:lang w:eastAsia="en-US"/>
              </w:rPr>
              <w:t>QLD</w:t>
            </w:r>
          </w:p>
        </w:tc>
        <w:tc>
          <w:tcPr>
            <w:tcW w:w="849" w:type="dxa"/>
            <w:tcBorders>
              <w:top w:val="single" w:sz="8" w:space="0" w:color="000000"/>
              <w:left w:val="nil"/>
              <w:bottom w:val="single" w:sz="8" w:space="0" w:color="000000"/>
              <w:right w:val="single" w:sz="8" w:space="0" w:color="000000"/>
            </w:tcBorders>
            <w:hideMark/>
          </w:tcPr>
          <w:p w14:paraId="40BA747B" w14:textId="77777777" w:rsidR="00BF2083" w:rsidRDefault="00BF2083">
            <w:pPr>
              <w:pStyle w:val="TableParagraph"/>
              <w:spacing w:before="6" w:line="276" w:lineRule="auto"/>
              <w:ind w:left="96" w:right="74"/>
              <w:jc w:val="center"/>
              <w:rPr>
                <w:b/>
                <w:bCs/>
                <w:sz w:val="20"/>
                <w:szCs w:val="20"/>
                <w:lang w:eastAsia="en-US"/>
              </w:rPr>
            </w:pPr>
            <w:r>
              <w:rPr>
                <w:b/>
                <w:bCs/>
                <w:sz w:val="20"/>
                <w:szCs w:val="20"/>
                <w:lang w:eastAsia="en-US"/>
              </w:rPr>
              <w:t>WA</w:t>
            </w:r>
          </w:p>
        </w:tc>
        <w:tc>
          <w:tcPr>
            <w:tcW w:w="847" w:type="dxa"/>
            <w:tcBorders>
              <w:top w:val="single" w:sz="8" w:space="0" w:color="000000"/>
              <w:left w:val="nil"/>
              <w:bottom w:val="single" w:sz="8" w:space="0" w:color="000000"/>
              <w:right w:val="single" w:sz="8" w:space="0" w:color="000000"/>
            </w:tcBorders>
            <w:hideMark/>
          </w:tcPr>
          <w:p w14:paraId="4C13701E" w14:textId="77777777" w:rsidR="00BF2083" w:rsidRDefault="00BF2083">
            <w:pPr>
              <w:pStyle w:val="TableParagraph"/>
              <w:spacing w:before="6" w:line="276" w:lineRule="auto"/>
              <w:ind w:left="96" w:right="78"/>
              <w:jc w:val="center"/>
              <w:rPr>
                <w:b/>
                <w:bCs/>
                <w:sz w:val="20"/>
                <w:szCs w:val="20"/>
                <w:lang w:eastAsia="en-US"/>
              </w:rPr>
            </w:pPr>
            <w:r>
              <w:rPr>
                <w:b/>
                <w:bCs/>
                <w:sz w:val="20"/>
                <w:szCs w:val="20"/>
                <w:lang w:eastAsia="en-US"/>
              </w:rPr>
              <w:t>SA</w:t>
            </w:r>
          </w:p>
        </w:tc>
        <w:tc>
          <w:tcPr>
            <w:tcW w:w="715" w:type="dxa"/>
            <w:tcBorders>
              <w:top w:val="single" w:sz="8" w:space="0" w:color="000000"/>
              <w:left w:val="nil"/>
              <w:bottom w:val="single" w:sz="8" w:space="0" w:color="000000"/>
              <w:right w:val="single" w:sz="8" w:space="0" w:color="000000"/>
            </w:tcBorders>
            <w:hideMark/>
          </w:tcPr>
          <w:p w14:paraId="20C11C25" w14:textId="77777777" w:rsidR="00BF2083" w:rsidRDefault="00BF2083">
            <w:pPr>
              <w:pStyle w:val="TableParagraph"/>
              <w:spacing w:before="6" w:line="276" w:lineRule="auto"/>
              <w:ind w:left="87" w:right="75"/>
              <w:jc w:val="center"/>
              <w:rPr>
                <w:b/>
                <w:bCs/>
                <w:sz w:val="20"/>
                <w:szCs w:val="20"/>
                <w:lang w:eastAsia="en-US"/>
              </w:rPr>
            </w:pPr>
            <w:r>
              <w:rPr>
                <w:b/>
                <w:bCs/>
                <w:sz w:val="20"/>
                <w:szCs w:val="20"/>
                <w:lang w:eastAsia="en-US"/>
              </w:rPr>
              <w:t>TAS</w:t>
            </w:r>
          </w:p>
        </w:tc>
        <w:tc>
          <w:tcPr>
            <w:tcW w:w="849" w:type="dxa"/>
            <w:tcBorders>
              <w:top w:val="single" w:sz="8" w:space="0" w:color="000000"/>
              <w:left w:val="nil"/>
              <w:bottom w:val="single" w:sz="8" w:space="0" w:color="000000"/>
              <w:right w:val="single" w:sz="8" w:space="0" w:color="000000"/>
            </w:tcBorders>
            <w:hideMark/>
          </w:tcPr>
          <w:p w14:paraId="2B618AD7" w14:textId="77777777" w:rsidR="00BF2083" w:rsidRDefault="00BF2083">
            <w:pPr>
              <w:pStyle w:val="TableParagraph"/>
              <w:spacing w:before="6" w:line="276" w:lineRule="auto"/>
              <w:ind w:left="94" w:right="86"/>
              <w:jc w:val="center"/>
              <w:rPr>
                <w:b/>
                <w:bCs/>
                <w:sz w:val="20"/>
                <w:szCs w:val="20"/>
                <w:lang w:eastAsia="en-US"/>
              </w:rPr>
            </w:pPr>
            <w:r>
              <w:rPr>
                <w:b/>
                <w:bCs/>
                <w:sz w:val="20"/>
                <w:szCs w:val="20"/>
                <w:lang w:eastAsia="en-US"/>
              </w:rPr>
              <w:t>ACT</w:t>
            </w:r>
          </w:p>
        </w:tc>
        <w:tc>
          <w:tcPr>
            <w:tcW w:w="763" w:type="dxa"/>
            <w:tcBorders>
              <w:top w:val="single" w:sz="8" w:space="0" w:color="000000"/>
              <w:left w:val="nil"/>
              <w:bottom w:val="single" w:sz="8" w:space="0" w:color="000000"/>
              <w:right w:val="single" w:sz="8" w:space="0" w:color="000000"/>
            </w:tcBorders>
            <w:hideMark/>
          </w:tcPr>
          <w:p w14:paraId="581813F3" w14:textId="77777777" w:rsidR="00BF2083" w:rsidRDefault="00BF2083">
            <w:pPr>
              <w:pStyle w:val="TableParagraph"/>
              <w:spacing w:before="6" w:line="276" w:lineRule="auto"/>
              <w:ind w:left="112" w:right="98"/>
              <w:jc w:val="center"/>
              <w:rPr>
                <w:b/>
                <w:bCs/>
                <w:sz w:val="20"/>
                <w:szCs w:val="20"/>
                <w:lang w:eastAsia="en-US"/>
              </w:rPr>
            </w:pPr>
            <w:r>
              <w:rPr>
                <w:b/>
                <w:bCs/>
                <w:sz w:val="20"/>
                <w:szCs w:val="20"/>
                <w:lang w:eastAsia="en-US"/>
              </w:rPr>
              <w:t>NT</w:t>
            </w:r>
          </w:p>
        </w:tc>
        <w:tc>
          <w:tcPr>
            <w:tcW w:w="938" w:type="dxa"/>
            <w:tcBorders>
              <w:top w:val="single" w:sz="8" w:space="0" w:color="000000"/>
              <w:left w:val="nil"/>
              <w:bottom w:val="single" w:sz="8" w:space="0" w:color="000000"/>
              <w:right w:val="single" w:sz="8" w:space="0" w:color="000000"/>
            </w:tcBorders>
            <w:hideMark/>
          </w:tcPr>
          <w:p w14:paraId="2EC233CF" w14:textId="77777777" w:rsidR="00BF2083" w:rsidRDefault="00BF2083">
            <w:pPr>
              <w:pStyle w:val="TableParagraph"/>
              <w:spacing w:before="6" w:line="276" w:lineRule="auto"/>
              <w:ind w:left="86" w:right="74"/>
              <w:jc w:val="center"/>
              <w:rPr>
                <w:b/>
                <w:bCs/>
                <w:sz w:val="20"/>
                <w:szCs w:val="20"/>
                <w:lang w:eastAsia="en-US"/>
              </w:rPr>
            </w:pPr>
            <w:r>
              <w:rPr>
                <w:b/>
                <w:bCs/>
                <w:sz w:val="20"/>
                <w:szCs w:val="20"/>
                <w:lang w:eastAsia="en-US"/>
              </w:rPr>
              <w:t>AUS</w:t>
            </w:r>
          </w:p>
        </w:tc>
      </w:tr>
      <w:tr w:rsidR="00BF2083" w14:paraId="3680098C" w14:textId="77777777" w:rsidTr="00BF2083">
        <w:trPr>
          <w:trHeight w:val="361"/>
        </w:trPr>
        <w:tc>
          <w:tcPr>
            <w:tcW w:w="1681" w:type="dxa"/>
            <w:tcBorders>
              <w:top w:val="nil"/>
              <w:left w:val="single" w:sz="8" w:space="0" w:color="000000"/>
              <w:bottom w:val="single" w:sz="8" w:space="0" w:color="000000"/>
              <w:right w:val="single" w:sz="8" w:space="0" w:color="000000"/>
            </w:tcBorders>
            <w:hideMark/>
          </w:tcPr>
          <w:p w14:paraId="1F6788BF" w14:textId="77777777" w:rsidR="00BF2083" w:rsidRDefault="00BF2083">
            <w:pPr>
              <w:pStyle w:val="TableParagraph"/>
              <w:spacing w:before="9" w:line="276" w:lineRule="auto"/>
              <w:rPr>
                <w:b/>
                <w:bCs/>
                <w:sz w:val="20"/>
                <w:szCs w:val="20"/>
                <w:lang w:eastAsia="en-US"/>
              </w:rPr>
            </w:pPr>
            <w:r>
              <w:rPr>
                <w:b/>
                <w:bCs/>
                <w:sz w:val="20"/>
                <w:szCs w:val="20"/>
                <w:lang w:eastAsia="en-US"/>
              </w:rPr>
              <w:t>Enrolled for at least 600 hours per year</w:t>
            </w:r>
          </w:p>
        </w:tc>
        <w:tc>
          <w:tcPr>
            <w:tcW w:w="723" w:type="dxa"/>
            <w:tcBorders>
              <w:top w:val="nil"/>
              <w:left w:val="nil"/>
              <w:bottom w:val="single" w:sz="8" w:space="0" w:color="000000"/>
              <w:right w:val="single" w:sz="8" w:space="0" w:color="000000"/>
            </w:tcBorders>
            <w:hideMark/>
          </w:tcPr>
          <w:p w14:paraId="61F5DAC8" w14:textId="77777777" w:rsidR="00BF2083" w:rsidRDefault="00BF2083">
            <w:pPr>
              <w:spacing w:line="276" w:lineRule="auto"/>
              <w:jc w:val="right"/>
              <w:rPr>
                <w:sz w:val="20"/>
                <w:szCs w:val="20"/>
                <w:lang w:eastAsia="en-US"/>
              </w:rPr>
            </w:pPr>
            <w:r>
              <w:rPr>
                <w:sz w:val="20"/>
                <w:szCs w:val="20"/>
              </w:rPr>
              <w:t xml:space="preserve">25,003 </w:t>
            </w:r>
          </w:p>
        </w:tc>
        <w:tc>
          <w:tcPr>
            <w:tcW w:w="852" w:type="dxa"/>
            <w:tcBorders>
              <w:top w:val="nil"/>
              <w:left w:val="nil"/>
              <w:bottom w:val="single" w:sz="8" w:space="0" w:color="000000"/>
              <w:right w:val="single" w:sz="8" w:space="0" w:color="000000"/>
            </w:tcBorders>
            <w:hideMark/>
          </w:tcPr>
          <w:p w14:paraId="2FD70ADE" w14:textId="77777777" w:rsidR="00BF2083" w:rsidRDefault="00BF2083">
            <w:pPr>
              <w:spacing w:line="276" w:lineRule="auto"/>
              <w:jc w:val="right"/>
              <w:rPr>
                <w:sz w:val="20"/>
                <w:szCs w:val="20"/>
              </w:rPr>
            </w:pPr>
            <w:r>
              <w:rPr>
                <w:sz w:val="20"/>
                <w:szCs w:val="20"/>
              </w:rPr>
              <w:t xml:space="preserve"> 40,020 </w:t>
            </w:r>
          </w:p>
        </w:tc>
        <w:tc>
          <w:tcPr>
            <w:tcW w:w="849" w:type="dxa"/>
            <w:tcBorders>
              <w:top w:val="nil"/>
              <w:left w:val="nil"/>
              <w:bottom w:val="single" w:sz="8" w:space="0" w:color="000000"/>
              <w:right w:val="single" w:sz="8" w:space="0" w:color="000000"/>
            </w:tcBorders>
            <w:hideMark/>
          </w:tcPr>
          <w:p w14:paraId="67C8A2D0" w14:textId="77777777" w:rsidR="00BF2083" w:rsidRDefault="00BF2083">
            <w:pPr>
              <w:spacing w:line="276" w:lineRule="auto"/>
              <w:jc w:val="right"/>
              <w:rPr>
                <w:sz w:val="20"/>
                <w:szCs w:val="20"/>
              </w:rPr>
            </w:pPr>
            <w:r>
              <w:rPr>
                <w:sz w:val="20"/>
                <w:szCs w:val="20"/>
              </w:rPr>
              <w:t xml:space="preserve"> 16,390 </w:t>
            </w:r>
          </w:p>
        </w:tc>
        <w:tc>
          <w:tcPr>
            <w:tcW w:w="849" w:type="dxa"/>
            <w:tcBorders>
              <w:top w:val="nil"/>
              <w:left w:val="nil"/>
              <w:bottom w:val="single" w:sz="8" w:space="0" w:color="000000"/>
              <w:right w:val="single" w:sz="8" w:space="0" w:color="000000"/>
            </w:tcBorders>
            <w:hideMark/>
          </w:tcPr>
          <w:p w14:paraId="171B004C" w14:textId="77777777" w:rsidR="00BF2083" w:rsidRDefault="00BF2083">
            <w:pPr>
              <w:spacing w:line="276" w:lineRule="auto"/>
              <w:jc w:val="right"/>
              <w:rPr>
                <w:sz w:val="20"/>
                <w:szCs w:val="20"/>
              </w:rPr>
            </w:pPr>
            <w:r>
              <w:rPr>
                <w:sz w:val="20"/>
                <w:szCs w:val="20"/>
              </w:rPr>
              <w:t xml:space="preserve"> 26,510 </w:t>
            </w:r>
          </w:p>
        </w:tc>
        <w:tc>
          <w:tcPr>
            <w:tcW w:w="847" w:type="dxa"/>
            <w:tcBorders>
              <w:top w:val="nil"/>
              <w:left w:val="nil"/>
              <w:bottom w:val="single" w:sz="8" w:space="0" w:color="000000"/>
              <w:right w:val="single" w:sz="8" w:space="0" w:color="000000"/>
            </w:tcBorders>
            <w:hideMark/>
          </w:tcPr>
          <w:p w14:paraId="01E72B52" w14:textId="77777777" w:rsidR="00BF2083" w:rsidRDefault="00BF2083">
            <w:pPr>
              <w:spacing w:line="276" w:lineRule="auto"/>
              <w:jc w:val="right"/>
              <w:rPr>
                <w:sz w:val="20"/>
                <w:szCs w:val="20"/>
              </w:rPr>
            </w:pPr>
            <w:r>
              <w:rPr>
                <w:sz w:val="20"/>
                <w:szCs w:val="20"/>
              </w:rPr>
              <w:t xml:space="preserve"> 11,234 </w:t>
            </w:r>
          </w:p>
        </w:tc>
        <w:tc>
          <w:tcPr>
            <w:tcW w:w="715" w:type="dxa"/>
            <w:tcBorders>
              <w:top w:val="nil"/>
              <w:left w:val="nil"/>
              <w:bottom w:val="single" w:sz="8" w:space="0" w:color="000000"/>
              <w:right w:val="single" w:sz="8" w:space="0" w:color="000000"/>
            </w:tcBorders>
            <w:hideMark/>
          </w:tcPr>
          <w:p w14:paraId="1C7595C0" w14:textId="77777777" w:rsidR="00BF2083" w:rsidRDefault="00BF2083">
            <w:pPr>
              <w:spacing w:line="276" w:lineRule="auto"/>
              <w:jc w:val="right"/>
              <w:rPr>
                <w:sz w:val="20"/>
                <w:szCs w:val="20"/>
              </w:rPr>
            </w:pPr>
            <w:r>
              <w:rPr>
                <w:sz w:val="20"/>
                <w:szCs w:val="20"/>
              </w:rPr>
              <w:t xml:space="preserve"> 5,083 </w:t>
            </w:r>
          </w:p>
        </w:tc>
        <w:tc>
          <w:tcPr>
            <w:tcW w:w="849" w:type="dxa"/>
            <w:tcBorders>
              <w:top w:val="nil"/>
              <w:left w:val="nil"/>
              <w:bottom w:val="single" w:sz="8" w:space="0" w:color="000000"/>
              <w:right w:val="single" w:sz="8" w:space="0" w:color="000000"/>
            </w:tcBorders>
            <w:hideMark/>
          </w:tcPr>
          <w:p w14:paraId="65FE99A0" w14:textId="77777777" w:rsidR="00BF2083" w:rsidRDefault="00BF2083">
            <w:pPr>
              <w:spacing w:line="276" w:lineRule="auto"/>
              <w:jc w:val="right"/>
              <w:rPr>
                <w:sz w:val="20"/>
                <w:szCs w:val="20"/>
              </w:rPr>
            </w:pPr>
            <w:r>
              <w:rPr>
                <w:sz w:val="20"/>
                <w:szCs w:val="20"/>
              </w:rPr>
              <w:t xml:space="preserve"> 2,791 </w:t>
            </w:r>
          </w:p>
        </w:tc>
        <w:tc>
          <w:tcPr>
            <w:tcW w:w="763" w:type="dxa"/>
            <w:tcBorders>
              <w:top w:val="nil"/>
              <w:left w:val="nil"/>
              <w:bottom w:val="single" w:sz="8" w:space="0" w:color="000000"/>
              <w:right w:val="single" w:sz="8" w:space="0" w:color="000000"/>
            </w:tcBorders>
            <w:hideMark/>
          </w:tcPr>
          <w:p w14:paraId="73588CC7" w14:textId="77777777" w:rsidR="00BF2083" w:rsidRDefault="00BF2083">
            <w:pPr>
              <w:spacing w:line="276" w:lineRule="auto"/>
              <w:jc w:val="right"/>
              <w:rPr>
                <w:sz w:val="20"/>
                <w:szCs w:val="20"/>
              </w:rPr>
            </w:pPr>
            <w:r>
              <w:rPr>
                <w:sz w:val="20"/>
                <w:szCs w:val="20"/>
              </w:rPr>
              <w:t xml:space="preserve"> 2,086 </w:t>
            </w:r>
          </w:p>
        </w:tc>
        <w:tc>
          <w:tcPr>
            <w:tcW w:w="938" w:type="dxa"/>
            <w:tcBorders>
              <w:top w:val="nil"/>
              <w:left w:val="nil"/>
              <w:bottom w:val="single" w:sz="8" w:space="0" w:color="000000"/>
              <w:right w:val="single" w:sz="8" w:space="0" w:color="000000"/>
            </w:tcBorders>
            <w:hideMark/>
          </w:tcPr>
          <w:p w14:paraId="271D9F96" w14:textId="77777777" w:rsidR="00BF2083" w:rsidRDefault="00BF2083">
            <w:pPr>
              <w:spacing w:line="276" w:lineRule="auto"/>
              <w:jc w:val="right"/>
              <w:rPr>
                <w:sz w:val="20"/>
                <w:szCs w:val="20"/>
              </w:rPr>
            </w:pPr>
            <w:r>
              <w:rPr>
                <w:sz w:val="20"/>
                <w:szCs w:val="20"/>
              </w:rPr>
              <w:t xml:space="preserve"> 129,142 </w:t>
            </w:r>
          </w:p>
        </w:tc>
      </w:tr>
      <w:tr w:rsidR="00BF2083" w14:paraId="16837A48" w14:textId="77777777" w:rsidTr="00BF2083">
        <w:trPr>
          <w:trHeight w:val="600"/>
        </w:trPr>
        <w:tc>
          <w:tcPr>
            <w:tcW w:w="1681" w:type="dxa"/>
            <w:tcBorders>
              <w:top w:val="nil"/>
              <w:left w:val="single" w:sz="8" w:space="0" w:color="000000"/>
              <w:bottom w:val="single" w:sz="8" w:space="0" w:color="000000"/>
              <w:right w:val="single" w:sz="8" w:space="0" w:color="000000"/>
            </w:tcBorders>
            <w:hideMark/>
          </w:tcPr>
          <w:p w14:paraId="68FB0158" w14:textId="77777777" w:rsidR="00BF2083" w:rsidRDefault="00BF2083">
            <w:pPr>
              <w:pStyle w:val="TableParagraph"/>
              <w:spacing w:before="6"/>
              <w:ind w:right="228"/>
              <w:rPr>
                <w:b/>
                <w:bCs/>
                <w:sz w:val="20"/>
                <w:szCs w:val="20"/>
                <w:lang w:eastAsia="en-US"/>
              </w:rPr>
            </w:pPr>
            <w:r>
              <w:rPr>
                <w:b/>
                <w:bCs/>
                <w:sz w:val="20"/>
                <w:szCs w:val="20"/>
                <w:lang w:eastAsia="en-US"/>
              </w:rPr>
              <w:t xml:space="preserve">Attended for at least 600 hours per year </w:t>
            </w:r>
          </w:p>
        </w:tc>
        <w:tc>
          <w:tcPr>
            <w:tcW w:w="723" w:type="dxa"/>
            <w:tcBorders>
              <w:top w:val="nil"/>
              <w:left w:val="nil"/>
              <w:bottom w:val="single" w:sz="8" w:space="0" w:color="000000"/>
              <w:right w:val="single" w:sz="8" w:space="0" w:color="000000"/>
            </w:tcBorders>
            <w:hideMark/>
          </w:tcPr>
          <w:p w14:paraId="006F83BC" w14:textId="77777777" w:rsidR="00BF2083" w:rsidRDefault="00BF2083">
            <w:pPr>
              <w:spacing w:line="276" w:lineRule="auto"/>
              <w:jc w:val="right"/>
              <w:rPr>
                <w:sz w:val="20"/>
                <w:szCs w:val="20"/>
                <w:lang w:eastAsia="en-US"/>
              </w:rPr>
            </w:pPr>
            <w:r>
              <w:rPr>
                <w:sz w:val="20"/>
                <w:szCs w:val="20"/>
              </w:rPr>
              <w:t xml:space="preserve"> 20,147 </w:t>
            </w:r>
          </w:p>
        </w:tc>
        <w:tc>
          <w:tcPr>
            <w:tcW w:w="852" w:type="dxa"/>
            <w:tcBorders>
              <w:top w:val="nil"/>
              <w:left w:val="nil"/>
              <w:bottom w:val="single" w:sz="8" w:space="0" w:color="000000"/>
              <w:right w:val="single" w:sz="8" w:space="0" w:color="000000"/>
            </w:tcBorders>
            <w:hideMark/>
          </w:tcPr>
          <w:p w14:paraId="511D72F3" w14:textId="77777777" w:rsidR="00BF2083" w:rsidRDefault="00BF2083">
            <w:pPr>
              <w:spacing w:line="276" w:lineRule="auto"/>
              <w:jc w:val="right"/>
              <w:rPr>
                <w:sz w:val="20"/>
                <w:szCs w:val="20"/>
              </w:rPr>
            </w:pPr>
            <w:r>
              <w:rPr>
                <w:sz w:val="20"/>
                <w:szCs w:val="20"/>
              </w:rPr>
              <w:t xml:space="preserve"> 30,365 </w:t>
            </w:r>
          </w:p>
        </w:tc>
        <w:tc>
          <w:tcPr>
            <w:tcW w:w="849" w:type="dxa"/>
            <w:tcBorders>
              <w:top w:val="nil"/>
              <w:left w:val="nil"/>
              <w:bottom w:val="single" w:sz="8" w:space="0" w:color="000000"/>
              <w:right w:val="single" w:sz="8" w:space="0" w:color="000000"/>
            </w:tcBorders>
            <w:hideMark/>
          </w:tcPr>
          <w:p w14:paraId="71CFC232" w14:textId="77777777" w:rsidR="00BF2083" w:rsidRDefault="00BF2083">
            <w:pPr>
              <w:spacing w:line="276" w:lineRule="auto"/>
              <w:jc w:val="right"/>
              <w:rPr>
                <w:sz w:val="20"/>
                <w:szCs w:val="20"/>
              </w:rPr>
            </w:pPr>
            <w:r>
              <w:rPr>
                <w:sz w:val="20"/>
                <w:szCs w:val="20"/>
              </w:rPr>
              <w:t xml:space="preserve"> 12,604 </w:t>
            </w:r>
          </w:p>
        </w:tc>
        <w:tc>
          <w:tcPr>
            <w:tcW w:w="849" w:type="dxa"/>
            <w:tcBorders>
              <w:top w:val="nil"/>
              <w:left w:val="nil"/>
              <w:bottom w:val="single" w:sz="8" w:space="0" w:color="000000"/>
              <w:right w:val="single" w:sz="8" w:space="0" w:color="000000"/>
            </w:tcBorders>
            <w:hideMark/>
          </w:tcPr>
          <w:p w14:paraId="4A59EF60" w14:textId="77777777" w:rsidR="00BF2083" w:rsidRDefault="00BF2083">
            <w:pPr>
              <w:spacing w:line="276" w:lineRule="auto"/>
              <w:jc w:val="right"/>
              <w:rPr>
                <w:sz w:val="20"/>
                <w:szCs w:val="20"/>
              </w:rPr>
            </w:pPr>
            <w:r>
              <w:rPr>
                <w:sz w:val="20"/>
                <w:szCs w:val="20"/>
              </w:rPr>
              <w:t xml:space="preserve"> 15,908 </w:t>
            </w:r>
          </w:p>
        </w:tc>
        <w:tc>
          <w:tcPr>
            <w:tcW w:w="847" w:type="dxa"/>
            <w:tcBorders>
              <w:top w:val="nil"/>
              <w:left w:val="nil"/>
              <w:bottom w:val="single" w:sz="8" w:space="0" w:color="000000"/>
              <w:right w:val="single" w:sz="8" w:space="0" w:color="000000"/>
            </w:tcBorders>
            <w:hideMark/>
          </w:tcPr>
          <w:p w14:paraId="77410F69" w14:textId="77777777" w:rsidR="00BF2083" w:rsidRDefault="00BF2083">
            <w:pPr>
              <w:spacing w:line="276" w:lineRule="auto"/>
              <w:jc w:val="right"/>
              <w:rPr>
                <w:sz w:val="20"/>
                <w:szCs w:val="20"/>
              </w:rPr>
            </w:pPr>
            <w:r>
              <w:rPr>
                <w:sz w:val="20"/>
                <w:szCs w:val="20"/>
              </w:rPr>
              <w:t xml:space="preserve"> 6,470 </w:t>
            </w:r>
          </w:p>
        </w:tc>
        <w:tc>
          <w:tcPr>
            <w:tcW w:w="715" w:type="dxa"/>
            <w:tcBorders>
              <w:top w:val="nil"/>
              <w:left w:val="nil"/>
              <w:bottom w:val="single" w:sz="8" w:space="0" w:color="000000"/>
              <w:right w:val="single" w:sz="8" w:space="0" w:color="000000"/>
            </w:tcBorders>
            <w:hideMark/>
          </w:tcPr>
          <w:p w14:paraId="15F931AC" w14:textId="77777777" w:rsidR="00BF2083" w:rsidRDefault="00BF2083">
            <w:pPr>
              <w:spacing w:line="276" w:lineRule="auto"/>
              <w:jc w:val="right"/>
              <w:rPr>
                <w:sz w:val="20"/>
                <w:szCs w:val="20"/>
              </w:rPr>
            </w:pPr>
            <w:r>
              <w:rPr>
                <w:sz w:val="20"/>
                <w:szCs w:val="20"/>
              </w:rPr>
              <w:t xml:space="preserve"> 4,030 </w:t>
            </w:r>
          </w:p>
        </w:tc>
        <w:tc>
          <w:tcPr>
            <w:tcW w:w="849" w:type="dxa"/>
            <w:tcBorders>
              <w:top w:val="nil"/>
              <w:left w:val="nil"/>
              <w:bottom w:val="single" w:sz="8" w:space="0" w:color="000000"/>
              <w:right w:val="single" w:sz="8" w:space="0" w:color="000000"/>
            </w:tcBorders>
            <w:hideMark/>
          </w:tcPr>
          <w:p w14:paraId="13F35726" w14:textId="77777777" w:rsidR="00BF2083" w:rsidRDefault="00BF2083">
            <w:pPr>
              <w:spacing w:line="276" w:lineRule="auto"/>
              <w:jc w:val="right"/>
              <w:rPr>
                <w:sz w:val="20"/>
                <w:szCs w:val="20"/>
              </w:rPr>
            </w:pPr>
            <w:r>
              <w:rPr>
                <w:sz w:val="20"/>
                <w:szCs w:val="20"/>
              </w:rPr>
              <w:t xml:space="preserve"> 1,901 </w:t>
            </w:r>
          </w:p>
        </w:tc>
        <w:tc>
          <w:tcPr>
            <w:tcW w:w="763" w:type="dxa"/>
            <w:tcBorders>
              <w:top w:val="nil"/>
              <w:left w:val="nil"/>
              <w:bottom w:val="single" w:sz="8" w:space="0" w:color="000000"/>
              <w:right w:val="single" w:sz="8" w:space="0" w:color="000000"/>
            </w:tcBorders>
            <w:hideMark/>
          </w:tcPr>
          <w:p w14:paraId="7963011A" w14:textId="77777777" w:rsidR="00BF2083" w:rsidRDefault="00BF2083">
            <w:pPr>
              <w:spacing w:line="276" w:lineRule="auto"/>
              <w:jc w:val="right"/>
              <w:rPr>
                <w:sz w:val="20"/>
                <w:szCs w:val="20"/>
              </w:rPr>
            </w:pPr>
            <w:r>
              <w:rPr>
                <w:sz w:val="20"/>
                <w:szCs w:val="20"/>
              </w:rPr>
              <w:t xml:space="preserve"> 1,217 </w:t>
            </w:r>
          </w:p>
        </w:tc>
        <w:tc>
          <w:tcPr>
            <w:tcW w:w="938" w:type="dxa"/>
            <w:tcBorders>
              <w:top w:val="nil"/>
              <w:left w:val="nil"/>
              <w:bottom w:val="single" w:sz="8" w:space="0" w:color="000000"/>
              <w:right w:val="single" w:sz="8" w:space="0" w:color="000000"/>
            </w:tcBorders>
            <w:hideMark/>
          </w:tcPr>
          <w:p w14:paraId="662E3A67" w14:textId="77777777" w:rsidR="00BF2083" w:rsidRDefault="00BF2083">
            <w:pPr>
              <w:spacing w:line="276" w:lineRule="auto"/>
              <w:jc w:val="right"/>
              <w:rPr>
                <w:sz w:val="20"/>
                <w:szCs w:val="20"/>
              </w:rPr>
            </w:pPr>
            <w:r>
              <w:rPr>
                <w:sz w:val="20"/>
                <w:szCs w:val="20"/>
              </w:rPr>
              <w:t xml:space="preserve"> 92,662 </w:t>
            </w:r>
          </w:p>
        </w:tc>
      </w:tr>
      <w:tr w:rsidR="00BF2083" w14:paraId="38BDCB3D" w14:textId="77777777" w:rsidTr="00BF2083">
        <w:trPr>
          <w:trHeight w:val="758"/>
        </w:trPr>
        <w:tc>
          <w:tcPr>
            <w:tcW w:w="1681" w:type="dxa"/>
            <w:tcBorders>
              <w:top w:val="nil"/>
              <w:left w:val="single" w:sz="8" w:space="0" w:color="000000"/>
              <w:bottom w:val="single" w:sz="8" w:space="0" w:color="000000"/>
              <w:right w:val="single" w:sz="8" w:space="0" w:color="000000"/>
            </w:tcBorders>
            <w:hideMark/>
          </w:tcPr>
          <w:p w14:paraId="4CF6CF1B" w14:textId="77777777" w:rsidR="00BF2083" w:rsidRDefault="00BF2083">
            <w:pPr>
              <w:pStyle w:val="TableParagraph"/>
              <w:spacing w:before="6"/>
              <w:ind w:right="228"/>
              <w:rPr>
                <w:b/>
                <w:bCs/>
                <w:sz w:val="20"/>
                <w:szCs w:val="20"/>
                <w:lang w:eastAsia="en-US"/>
              </w:rPr>
            </w:pPr>
            <w:r>
              <w:rPr>
                <w:b/>
                <w:bCs/>
                <w:sz w:val="20"/>
                <w:szCs w:val="20"/>
                <w:lang w:eastAsia="en-US"/>
              </w:rPr>
              <w:t>%Attendance rate</w:t>
            </w:r>
          </w:p>
        </w:tc>
        <w:tc>
          <w:tcPr>
            <w:tcW w:w="723" w:type="dxa"/>
            <w:tcBorders>
              <w:top w:val="nil"/>
              <w:left w:val="nil"/>
              <w:bottom w:val="single" w:sz="8" w:space="0" w:color="000000"/>
              <w:right w:val="single" w:sz="8" w:space="0" w:color="000000"/>
            </w:tcBorders>
            <w:vAlign w:val="center"/>
            <w:hideMark/>
          </w:tcPr>
          <w:p w14:paraId="33742C6E" w14:textId="77777777" w:rsidR="00BF2083" w:rsidRDefault="00BF2083">
            <w:pPr>
              <w:spacing w:line="276" w:lineRule="auto"/>
              <w:jc w:val="right"/>
              <w:rPr>
                <w:color w:val="000000"/>
                <w:sz w:val="20"/>
                <w:szCs w:val="20"/>
                <w:lang w:eastAsia="en-US"/>
              </w:rPr>
            </w:pPr>
            <w:r>
              <w:rPr>
                <w:color w:val="000000"/>
                <w:sz w:val="20"/>
                <w:szCs w:val="20"/>
              </w:rPr>
              <w:t>80.6</w:t>
            </w:r>
          </w:p>
        </w:tc>
        <w:tc>
          <w:tcPr>
            <w:tcW w:w="852" w:type="dxa"/>
            <w:tcBorders>
              <w:top w:val="nil"/>
              <w:left w:val="nil"/>
              <w:bottom w:val="single" w:sz="8" w:space="0" w:color="000000"/>
              <w:right w:val="single" w:sz="8" w:space="0" w:color="000000"/>
            </w:tcBorders>
            <w:vAlign w:val="center"/>
            <w:hideMark/>
          </w:tcPr>
          <w:p w14:paraId="0AD947D7" w14:textId="77777777" w:rsidR="00BF2083" w:rsidRDefault="00BF2083">
            <w:pPr>
              <w:spacing w:line="276" w:lineRule="auto"/>
              <w:jc w:val="right"/>
              <w:rPr>
                <w:color w:val="000000"/>
                <w:sz w:val="20"/>
                <w:szCs w:val="20"/>
              </w:rPr>
            </w:pPr>
            <w:r>
              <w:rPr>
                <w:color w:val="000000"/>
                <w:sz w:val="20"/>
                <w:szCs w:val="20"/>
              </w:rPr>
              <w:t>75.9</w:t>
            </w:r>
          </w:p>
        </w:tc>
        <w:tc>
          <w:tcPr>
            <w:tcW w:w="849" w:type="dxa"/>
            <w:tcBorders>
              <w:top w:val="nil"/>
              <w:left w:val="nil"/>
              <w:bottom w:val="single" w:sz="8" w:space="0" w:color="000000"/>
              <w:right w:val="single" w:sz="8" w:space="0" w:color="000000"/>
            </w:tcBorders>
            <w:vAlign w:val="center"/>
            <w:hideMark/>
          </w:tcPr>
          <w:p w14:paraId="4CA5A858" w14:textId="77777777" w:rsidR="00BF2083" w:rsidRDefault="00BF2083">
            <w:pPr>
              <w:spacing w:line="276" w:lineRule="auto"/>
              <w:jc w:val="right"/>
              <w:rPr>
                <w:color w:val="000000"/>
                <w:sz w:val="20"/>
                <w:szCs w:val="20"/>
              </w:rPr>
            </w:pPr>
            <w:r>
              <w:rPr>
                <w:color w:val="000000"/>
                <w:sz w:val="20"/>
                <w:szCs w:val="20"/>
              </w:rPr>
              <w:t>76.9</w:t>
            </w:r>
          </w:p>
        </w:tc>
        <w:tc>
          <w:tcPr>
            <w:tcW w:w="849" w:type="dxa"/>
            <w:tcBorders>
              <w:top w:val="nil"/>
              <w:left w:val="nil"/>
              <w:bottom w:val="single" w:sz="8" w:space="0" w:color="000000"/>
              <w:right w:val="single" w:sz="8" w:space="0" w:color="000000"/>
            </w:tcBorders>
            <w:vAlign w:val="center"/>
            <w:hideMark/>
          </w:tcPr>
          <w:p w14:paraId="0A381C60" w14:textId="77777777" w:rsidR="00BF2083" w:rsidRDefault="00BF2083">
            <w:pPr>
              <w:spacing w:line="276" w:lineRule="auto"/>
              <w:jc w:val="right"/>
              <w:rPr>
                <w:color w:val="000000"/>
                <w:sz w:val="20"/>
                <w:szCs w:val="20"/>
              </w:rPr>
            </w:pPr>
            <w:r>
              <w:rPr>
                <w:color w:val="000000"/>
                <w:sz w:val="20"/>
                <w:szCs w:val="20"/>
              </w:rPr>
              <w:t>60.0</w:t>
            </w:r>
          </w:p>
        </w:tc>
        <w:tc>
          <w:tcPr>
            <w:tcW w:w="847" w:type="dxa"/>
            <w:tcBorders>
              <w:top w:val="nil"/>
              <w:left w:val="nil"/>
              <w:bottom w:val="single" w:sz="8" w:space="0" w:color="000000"/>
              <w:right w:val="single" w:sz="8" w:space="0" w:color="000000"/>
            </w:tcBorders>
            <w:vAlign w:val="center"/>
            <w:hideMark/>
          </w:tcPr>
          <w:p w14:paraId="25A551A3" w14:textId="77777777" w:rsidR="00BF2083" w:rsidRDefault="00BF2083">
            <w:pPr>
              <w:spacing w:line="276" w:lineRule="auto"/>
              <w:jc w:val="right"/>
              <w:rPr>
                <w:color w:val="000000"/>
                <w:sz w:val="20"/>
                <w:szCs w:val="20"/>
              </w:rPr>
            </w:pPr>
            <w:r>
              <w:rPr>
                <w:color w:val="000000"/>
                <w:sz w:val="20"/>
                <w:szCs w:val="20"/>
              </w:rPr>
              <w:t>57.6</w:t>
            </w:r>
          </w:p>
        </w:tc>
        <w:tc>
          <w:tcPr>
            <w:tcW w:w="715" w:type="dxa"/>
            <w:tcBorders>
              <w:top w:val="nil"/>
              <w:left w:val="nil"/>
              <w:bottom w:val="single" w:sz="8" w:space="0" w:color="000000"/>
              <w:right w:val="single" w:sz="8" w:space="0" w:color="000000"/>
            </w:tcBorders>
            <w:vAlign w:val="center"/>
            <w:hideMark/>
          </w:tcPr>
          <w:p w14:paraId="5239ADFC" w14:textId="77777777" w:rsidR="00BF2083" w:rsidRDefault="00BF2083">
            <w:pPr>
              <w:spacing w:line="276" w:lineRule="auto"/>
              <w:jc w:val="right"/>
              <w:rPr>
                <w:color w:val="000000"/>
                <w:sz w:val="20"/>
                <w:szCs w:val="20"/>
              </w:rPr>
            </w:pPr>
            <w:r>
              <w:rPr>
                <w:color w:val="000000"/>
                <w:sz w:val="20"/>
                <w:szCs w:val="20"/>
              </w:rPr>
              <w:t>79.3</w:t>
            </w:r>
          </w:p>
        </w:tc>
        <w:tc>
          <w:tcPr>
            <w:tcW w:w="849" w:type="dxa"/>
            <w:tcBorders>
              <w:top w:val="nil"/>
              <w:left w:val="nil"/>
              <w:bottom w:val="single" w:sz="8" w:space="0" w:color="000000"/>
              <w:right w:val="single" w:sz="8" w:space="0" w:color="000000"/>
            </w:tcBorders>
            <w:vAlign w:val="center"/>
            <w:hideMark/>
          </w:tcPr>
          <w:p w14:paraId="09D4793D" w14:textId="77777777" w:rsidR="00BF2083" w:rsidRDefault="00BF2083">
            <w:pPr>
              <w:spacing w:line="276" w:lineRule="auto"/>
              <w:jc w:val="right"/>
              <w:rPr>
                <w:color w:val="000000"/>
                <w:sz w:val="20"/>
                <w:szCs w:val="20"/>
              </w:rPr>
            </w:pPr>
            <w:r>
              <w:rPr>
                <w:color w:val="000000"/>
                <w:sz w:val="20"/>
                <w:szCs w:val="20"/>
              </w:rPr>
              <w:t>68.1</w:t>
            </w:r>
          </w:p>
        </w:tc>
        <w:tc>
          <w:tcPr>
            <w:tcW w:w="763" w:type="dxa"/>
            <w:tcBorders>
              <w:top w:val="nil"/>
              <w:left w:val="nil"/>
              <w:bottom w:val="single" w:sz="8" w:space="0" w:color="000000"/>
              <w:right w:val="single" w:sz="8" w:space="0" w:color="000000"/>
            </w:tcBorders>
            <w:vAlign w:val="center"/>
            <w:hideMark/>
          </w:tcPr>
          <w:p w14:paraId="373BC0B9" w14:textId="77777777" w:rsidR="00BF2083" w:rsidRDefault="00BF2083">
            <w:pPr>
              <w:spacing w:line="276" w:lineRule="auto"/>
              <w:jc w:val="right"/>
              <w:rPr>
                <w:color w:val="000000"/>
                <w:sz w:val="20"/>
                <w:szCs w:val="20"/>
              </w:rPr>
            </w:pPr>
            <w:r>
              <w:rPr>
                <w:color w:val="000000"/>
                <w:sz w:val="20"/>
                <w:szCs w:val="20"/>
              </w:rPr>
              <w:t>58.3</w:t>
            </w:r>
          </w:p>
        </w:tc>
        <w:tc>
          <w:tcPr>
            <w:tcW w:w="938" w:type="dxa"/>
            <w:tcBorders>
              <w:top w:val="nil"/>
              <w:left w:val="nil"/>
              <w:bottom w:val="single" w:sz="8" w:space="0" w:color="000000"/>
              <w:right w:val="single" w:sz="8" w:space="0" w:color="000000"/>
            </w:tcBorders>
            <w:vAlign w:val="center"/>
            <w:hideMark/>
          </w:tcPr>
          <w:p w14:paraId="0A5D4F74" w14:textId="77777777" w:rsidR="00BF2083" w:rsidRDefault="00BF2083">
            <w:pPr>
              <w:spacing w:line="276" w:lineRule="auto"/>
              <w:jc w:val="right"/>
              <w:rPr>
                <w:color w:val="000000"/>
                <w:sz w:val="20"/>
                <w:szCs w:val="20"/>
              </w:rPr>
            </w:pPr>
            <w:r>
              <w:rPr>
                <w:color w:val="000000"/>
                <w:sz w:val="20"/>
                <w:szCs w:val="20"/>
              </w:rPr>
              <w:t>71.8</w:t>
            </w:r>
          </w:p>
        </w:tc>
      </w:tr>
      <w:tr w:rsidR="00BF2083" w14:paraId="0695EA79" w14:textId="77777777" w:rsidTr="00BF2083">
        <w:trPr>
          <w:trHeight w:val="842"/>
        </w:trPr>
        <w:tc>
          <w:tcPr>
            <w:tcW w:w="1681" w:type="dxa"/>
            <w:tcBorders>
              <w:top w:val="nil"/>
              <w:left w:val="single" w:sz="8" w:space="0" w:color="000000"/>
              <w:bottom w:val="single" w:sz="8" w:space="0" w:color="000000"/>
              <w:right w:val="single" w:sz="8" w:space="0" w:color="000000"/>
            </w:tcBorders>
            <w:hideMark/>
          </w:tcPr>
          <w:p w14:paraId="642AC28B" w14:textId="77777777" w:rsidR="00BF2083" w:rsidRDefault="00BF2083">
            <w:pPr>
              <w:pStyle w:val="TableParagraph"/>
              <w:spacing w:before="9"/>
              <w:ind w:right="415"/>
              <w:jc w:val="both"/>
              <w:rPr>
                <w:b/>
                <w:bCs/>
                <w:sz w:val="20"/>
                <w:szCs w:val="20"/>
                <w:lang w:eastAsia="en-US"/>
              </w:rPr>
            </w:pPr>
            <w:r>
              <w:rPr>
                <w:b/>
                <w:bCs/>
                <w:sz w:val="20"/>
                <w:szCs w:val="20"/>
                <w:lang w:eastAsia="en-US"/>
              </w:rPr>
              <w:t>Vulnerable children % attended for 600 hours</w:t>
            </w:r>
          </w:p>
        </w:tc>
        <w:tc>
          <w:tcPr>
            <w:tcW w:w="723" w:type="dxa"/>
            <w:tcBorders>
              <w:top w:val="nil"/>
              <w:left w:val="nil"/>
              <w:bottom w:val="single" w:sz="8" w:space="0" w:color="000000"/>
              <w:right w:val="single" w:sz="8" w:space="0" w:color="000000"/>
            </w:tcBorders>
            <w:vAlign w:val="center"/>
            <w:hideMark/>
          </w:tcPr>
          <w:p w14:paraId="5776311A" w14:textId="77777777" w:rsidR="00BF2083" w:rsidRDefault="00BF2083">
            <w:pPr>
              <w:spacing w:line="276" w:lineRule="auto"/>
              <w:jc w:val="right"/>
              <w:rPr>
                <w:color w:val="000000"/>
                <w:sz w:val="20"/>
                <w:szCs w:val="20"/>
                <w:lang w:eastAsia="en-US"/>
              </w:rPr>
            </w:pPr>
            <w:r>
              <w:rPr>
                <w:color w:val="000000"/>
                <w:sz w:val="20"/>
                <w:szCs w:val="20"/>
              </w:rPr>
              <w:t>75.1</w:t>
            </w:r>
          </w:p>
        </w:tc>
        <w:tc>
          <w:tcPr>
            <w:tcW w:w="852" w:type="dxa"/>
            <w:tcBorders>
              <w:top w:val="nil"/>
              <w:left w:val="nil"/>
              <w:bottom w:val="single" w:sz="8" w:space="0" w:color="000000"/>
              <w:right w:val="single" w:sz="8" w:space="0" w:color="000000"/>
            </w:tcBorders>
            <w:vAlign w:val="center"/>
            <w:hideMark/>
          </w:tcPr>
          <w:p w14:paraId="6C468DC8" w14:textId="77777777" w:rsidR="00BF2083" w:rsidRDefault="00BF2083">
            <w:pPr>
              <w:spacing w:line="276" w:lineRule="auto"/>
              <w:jc w:val="right"/>
              <w:rPr>
                <w:color w:val="000000"/>
                <w:sz w:val="20"/>
                <w:szCs w:val="20"/>
              </w:rPr>
            </w:pPr>
            <w:r>
              <w:rPr>
                <w:color w:val="000000"/>
                <w:sz w:val="20"/>
                <w:szCs w:val="20"/>
              </w:rPr>
              <w:t>69.5</w:t>
            </w:r>
          </w:p>
        </w:tc>
        <w:tc>
          <w:tcPr>
            <w:tcW w:w="849" w:type="dxa"/>
            <w:tcBorders>
              <w:top w:val="nil"/>
              <w:left w:val="nil"/>
              <w:bottom w:val="single" w:sz="8" w:space="0" w:color="000000"/>
              <w:right w:val="single" w:sz="8" w:space="0" w:color="000000"/>
            </w:tcBorders>
            <w:vAlign w:val="center"/>
            <w:hideMark/>
          </w:tcPr>
          <w:p w14:paraId="69BA1B9A" w14:textId="77777777" w:rsidR="00BF2083" w:rsidRDefault="00BF2083">
            <w:pPr>
              <w:spacing w:line="276" w:lineRule="auto"/>
              <w:jc w:val="right"/>
              <w:rPr>
                <w:color w:val="000000"/>
                <w:sz w:val="20"/>
                <w:szCs w:val="20"/>
              </w:rPr>
            </w:pPr>
            <w:r>
              <w:rPr>
                <w:color w:val="000000"/>
                <w:sz w:val="20"/>
                <w:szCs w:val="20"/>
              </w:rPr>
              <w:t>74.0</w:t>
            </w:r>
          </w:p>
        </w:tc>
        <w:tc>
          <w:tcPr>
            <w:tcW w:w="849" w:type="dxa"/>
            <w:tcBorders>
              <w:top w:val="nil"/>
              <w:left w:val="nil"/>
              <w:bottom w:val="single" w:sz="8" w:space="0" w:color="000000"/>
              <w:right w:val="single" w:sz="8" w:space="0" w:color="000000"/>
            </w:tcBorders>
            <w:vAlign w:val="center"/>
            <w:hideMark/>
          </w:tcPr>
          <w:p w14:paraId="23C1DD28" w14:textId="77777777" w:rsidR="00BF2083" w:rsidRDefault="00BF2083">
            <w:pPr>
              <w:spacing w:line="276" w:lineRule="auto"/>
              <w:jc w:val="right"/>
              <w:rPr>
                <w:color w:val="000000"/>
                <w:sz w:val="20"/>
                <w:szCs w:val="20"/>
              </w:rPr>
            </w:pPr>
            <w:r>
              <w:rPr>
                <w:color w:val="000000"/>
                <w:sz w:val="20"/>
                <w:szCs w:val="20"/>
              </w:rPr>
              <w:t>55.0</w:t>
            </w:r>
          </w:p>
        </w:tc>
        <w:tc>
          <w:tcPr>
            <w:tcW w:w="847" w:type="dxa"/>
            <w:tcBorders>
              <w:top w:val="nil"/>
              <w:left w:val="nil"/>
              <w:bottom w:val="single" w:sz="8" w:space="0" w:color="000000"/>
              <w:right w:val="single" w:sz="8" w:space="0" w:color="000000"/>
            </w:tcBorders>
            <w:vAlign w:val="center"/>
            <w:hideMark/>
          </w:tcPr>
          <w:p w14:paraId="5F4E04D2" w14:textId="77777777" w:rsidR="00BF2083" w:rsidRDefault="00BF2083">
            <w:pPr>
              <w:spacing w:line="276" w:lineRule="auto"/>
              <w:jc w:val="right"/>
              <w:rPr>
                <w:color w:val="000000"/>
                <w:sz w:val="20"/>
                <w:szCs w:val="20"/>
              </w:rPr>
            </w:pPr>
            <w:r>
              <w:rPr>
                <w:color w:val="000000"/>
                <w:sz w:val="20"/>
                <w:szCs w:val="20"/>
              </w:rPr>
              <w:t>49.4</w:t>
            </w:r>
          </w:p>
        </w:tc>
        <w:tc>
          <w:tcPr>
            <w:tcW w:w="715" w:type="dxa"/>
            <w:tcBorders>
              <w:top w:val="nil"/>
              <w:left w:val="nil"/>
              <w:bottom w:val="single" w:sz="8" w:space="0" w:color="000000"/>
              <w:right w:val="single" w:sz="8" w:space="0" w:color="000000"/>
            </w:tcBorders>
            <w:vAlign w:val="center"/>
            <w:hideMark/>
          </w:tcPr>
          <w:p w14:paraId="4F1BDC75" w14:textId="77777777" w:rsidR="00BF2083" w:rsidRDefault="00BF2083">
            <w:pPr>
              <w:spacing w:line="276" w:lineRule="auto"/>
              <w:jc w:val="right"/>
              <w:rPr>
                <w:color w:val="000000"/>
                <w:sz w:val="20"/>
                <w:szCs w:val="20"/>
              </w:rPr>
            </w:pPr>
            <w:r>
              <w:rPr>
                <w:color w:val="000000"/>
                <w:sz w:val="20"/>
                <w:szCs w:val="20"/>
              </w:rPr>
              <w:t>75.6</w:t>
            </w:r>
          </w:p>
        </w:tc>
        <w:tc>
          <w:tcPr>
            <w:tcW w:w="849" w:type="dxa"/>
            <w:tcBorders>
              <w:top w:val="nil"/>
              <w:left w:val="nil"/>
              <w:bottom w:val="single" w:sz="8" w:space="0" w:color="000000"/>
              <w:right w:val="single" w:sz="8" w:space="0" w:color="000000"/>
            </w:tcBorders>
            <w:vAlign w:val="center"/>
            <w:hideMark/>
          </w:tcPr>
          <w:p w14:paraId="7AE54B1E" w14:textId="77777777" w:rsidR="00BF2083" w:rsidRDefault="00BF2083">
            <w:pPr>
              <w:spacing w:line="276" w:lineRule="auto"/>
              <w:jc w:val="right"/>
              <w:rPr>
                <w:color w:val="000000"/>
                <w:sz w:val="20"/>
                <w:szCs w:val="20"/>
              </w:rPr>
            </w:pPr>
            <w:r>
              <w:rPr>
                <w:color w:val="000000"/>
                <w:sz w:val="20"/>
                <w:szCs w:val="20"/>
              </w:rPr>
              <w:t>56.4</w:t>
            </w:r>
          </w:p>
        </w:tc>
        <w:tc>
          <w:tcPr>
            <w:tcW w:w="763" w:type="dxa"/>
            <w:tcBorders>
              <w:top w:val="nil"/>
              <w:left w:val="nil"/>
              <w:bottom w:val="single" w:sz="8" w:space="0" w:color="000000"/>
              <w:right w:val="single" w:sz="8" w:space="0" w:color="000000"/>
            </w:tcBorders>
            <w:vAlign w:val="center"/>
            <w:hideMark/>
          </w:tcPr>
          <w:p w14:paraId="497FBD34" w14:textId="77777777" w:rsidR="00BF2083" w:rsidRDefault="00BF2083">
            <w:pPr>
              <w:spacing w:line="276" w:lineRule="auto"/>
              <w:jc w:val="right"/>
              <w:rPr>
                <w:color w:val="000000"/>
                <w:sz w:val="20"/>
                <w:szCs w:val="20"/>
              </w:rPr>
            </w:pPr>
            <w:r>
              <w:rPr>
                <w:color w:val="000000"/>
                <w:sz w:val="20"/>
                <w:szCs w:val="20"/>
              </w:rPr>
              <w:t>29.5</w:t>
            </w:r>
          </w:p>
        </w:tc>
        <w:tc>
          <w:tcPr>
            <w:tcW w:w="938" w:type="dxa"/>
            <w:tcBorders>
              <w:top w:val="nil"/>
              <w:left w:val="nil"/>
              <w:bottom w:val="single" w:sz="8" w:space="0" w:color="000000"/>
              <w:right w:val="single" w:sz="8" w:space="0" w:color="000000"/>
            </w:tcBorders>
            <w:vAlign w:val="center"/>
            <w:hideMark/>
          </w:tcPr>
          <w:p w14:paraId="448A3EBE" w14:textId="77777777" w:rsidR="00BF2083" w:rsidRDefault="00BF2083">
            <w:pPr>
              <w:spacing w:line="276" w:lineRule="auto"/>
              <w:jc w:val="right"/>
              <w:rPr>
                <w:color w:val="000000"/>
                <w:sz w:val="20"/>
                <w:szCs w:val="20"/>
              </w:rPr>
            </w:pPr>
            <w:r>
              <w:rPr>
                <w:color w:val="000000"/>
                <w:sz w:val="20"/>
                <w:szCs w:val="20"/>
              </w:rPr>
              <w:t>66.0</w:t>
            </w:r>
          </w:p>
        </w:tc>
      </w:tr>
    </w:tbl>
    <w:p w14:paraId="4050E991" w14:textId="77777777" w:rsidR="00BF2083" w:rsidRDefault="00BF2083" w:rsidP="00BF2083">
      <w:pPr>
        <w:ind w:left="260"/>
        <w:jc w:val="both"/>
        <w:rPr>
          <w:rFonts w:eastAsiaTheme="minorHAnsi"/>
          <w:sz w:val="18"/>
          <w:szCs w:val="18"/>
        </w:rPr>
      </w:pPr>
      <w:r>
        <w:rPr>
          <w:sz w:val="18"/>
          <w:szCs w:val="18"/>
        </w:rPr>
        <w:t>Source: ABS Preschool Education (unpublished Tablebuilder), Australia, 2018</w:t>
      </w:r>
    </w:p>
    <w:p w14:paraId="7B1D2FB2" w14:textId="77777777" w:rsidR="00BF2083" w:rsidRDefault="00BF2083" w:rsidP="00BF2083">
      <w:pPr>
        <w:ind w:left="260"/>
        <w:jc w:val="both"/>
        <w:rPr>
          <w:rFonts w:ascii="Calibri" w:hAnsi="Calibri" w:cs="Calibri"/>
          <w:sz w:val="18"/>
          <w:szCs w:val="18"/>
          <w:lang w:eastAsia="en-US"/>
        </w:rPr>
      </w:pPr>
      <w:r>
        <w:rPr>
          <w:sz w:val="18"/>
          <w:szCs w:val="18"/>
        </w:rPr>
        <w:t>Note: Vulnerable and disadvantaged is measured as SEIFA Quintile 1 which is a geographical index of relative socio-economic disadvantage produced by the ABS. Figures are unreliable for the ACT which is in a very small geographical area.</w:t>
      </w:r>
    </w:p>
    <w:p w14:paraId="092969C9" w14:textId="77777777" w:rsidR="009F4205" w:rsidRPr="00DE4E8C" w:rsidRDefault="009F4205">
      <w:pPr>
        <w:rPr>
          <w:b/>
          <w:color w:val="001F5F"/>
          <w:sz w:val="16"/>
          <w:szCs w:val="16"/>
        </w:rPr>
      </w:pPr>
    </w:p>
    <w:p w14:paraId="7CA920A9" w14:textId="77777777" w:rsidR="005B131A" w:rsidRDefault="005B131A" w:rsidP="00BF2083">
      <w:pPr>
        <w:jc w:val="both"/>
        <w:rPr>
          <w:b/>
          <w:sz w:val="20"/>
        </w:rPr>
      </w:pPr>
    </w:p>
    <w:p w14:paraId="2DD98117" w14:textId="5FFE6F91" w:rsidR="0098332C" w:rsidRDefault="00DF52BA" w:rsidP="00285F17">
      <w:pPr>
        <w:pStyle w:val="BodyText"/>
        <w:ind w:left="260" w:right="213"/>
        <w:jc w:val="both"/>
      </w:pPr>
      <w:r w:rsidRPr="00DF52BA">
        <w:t>As Table</w:t>
      </w:r>
      <w:r w:rsidR="002C2810" w:rsidRPr="00DF52BA">
        <w:t xml:space="preserve"> 3 shows</w:t>
      </w:r>
      <w:r w:rsidR="002C2810">
        <w:t xml:space="preserve"> there are significant proportions of children from communities of all levels of advantage-disadvantage who are not attending preschool for 600 hours or more. These attendance rates however decline as the level of community disadvantage increases.</w:t>
      </w:r>
    </w:p>
    <w:p w14:paraId="7CBCD2B9" w14:textId="4107B0A2" w:rsidR="00285F17" w:rsidRDefault="00285F17" w:rsidP="00285F17">
      <w:pPr>
        <w:pStyle w:val="BodyText"/>
        <w:spacing w:before="2"/>
        <w:rPr>
          <w:sz w:val="12"/>
        </w:rPr>
      </w:pPr>
    </w:p>
    <w:p w14:paraId="72ED0163" w14:textId="4077315C" w:rsidR="00285F17" w:rsidRDefault="00285F17" w:rsidP="00DE4E8C">
      <w:pPr>
        <w:spacing w:before="93"/>
        <w:ind w:left="260" w:right="439"/>
        <w:rPr>
          <w:b/>
          <w:color w:val="001F5F"/>
          <w:sz w:val="20"/>
        </w:rPr>
      </w:pPr>
      <w:r w:rsidRPr="00DF52BA">
        <w:rPr>
          <w:b/>
          <w:color w:val="001F5F"/>
          <w:sz w:val="20"/>
        </w:rPr>
        <w:t>Figure 6: Attendance</w:t>
      </w:r>
      <w:r>
        <w:rPr>
          <w:b/>
          <w:color w:val="001F5F"/>
          <w:sz w:val="20"/>
        </w:rPr>
        <w:t xml:space="preserve"> Rates (600 hours or more) by Indigeneity and community disadvantage (SEIFA), [2018]</w:t>
      </w:r>
    </w:p>
    <w:p w14:paraId="095B1F64" w14:textId="77777777" w:rsidR="00285F17" w:rsidRDefault="00285F17" w:rsidP="00285F17">
      <w:pPr>
        <w:spacing w:before="93"/>
        <w:ind w:left="260" w:right="439"/>
        <w:rPr>
          <w:b/>
          <w:sz w:val="18"/>
        </w:rPr>
      </w:pPr>
      <w:r>
        <w:rPr>
          <w:noProof/>
          <w:lang w:bidi="ar-SA"/>
        </w:rPr>
        <w:drawing>
          <wp:inline distT="0" distB="0" distL="0" distR="0" wp14:anchorId="07CFEC83" wp14:editId="1973CB8F">
            <wp:extent cx="6037436" cy="3842158"/>
            <wp:effectExtent l="0" t="0" r="1905" b="6350"/>
            <wp:docPr id="33" name="Picture 33" descr="cid:image004.png@01D5B662.B1756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5B662.B1756A10"/>
                    <pic:cNvPicPr>
                      <a:picLocks noChangeAspect="1" noChangeArrowheads="1"/>
                    </pic:cNvPicPr>
                  </pic:nvPicPr>
                  <pic:blipFill rotWithShape="1">
                    <a:blip r:embed="rId25" r:link="rId26">
                      <a:extLst>
                        <a:ext uri="{28A0092B-C50C-407E-A947-70E740481C1C}">
                          <a14:useLocalDpi xmlns:a14="http://schemas.microsoft.com/office/drawing/2010/main" val="0"/>
                        </a:ext>
                      </a:extLst>
                    </a:blip>
                    <a:srcRect b="7190"/>
                    <a:stretch/>
                  </pic:blipFill>
                  <pic:spPr bwMode="auto">
                    <a:xfrm>
                      <a:off x="0" y="0"/>
                      <a:ext cx="6038850" cy="3843058"/>
                    </a:xfrm>
                    <a:prstGeom prst="rect">
                      <a:avLst/>
                    </a:prstGeom>
                    <a:noFill/>
                    <a:ln>
                      <a:noFill/>
                    </a:ln>
                    <a:extLst>
                      <a:ext uri="{53640926-AAD7-44D8-BBD7-CCE9431645EC}">
                        <a14:shadowObscured xmlns:a14="http://schemas.microsoft.com/office/drawing/2010/main"/>
                      </a:ext>
                    </a:extLst>
                  </pic:spPr>
                </pic:pic>
              </a:graphicData>
            </a:graphic>
          </wp:inline>
        </w:drawing>
      </w:r>
    </w:p>
    <w:p w14:paraId="5DBC2AB0" w14:textId="7C0E3AE2" w:rsidR="00285F17" w:rsidRPr="00DE4E8C" w:rsidRDefault="00285F17" w:rsidP="00DE4E8C">
      <w:pPr>
        <w:rPr>
          <w:sz w:val="18"/>
        </w:rPr>
        <w:sectPr w:rsidR="00285F17" w:rsidRPr="00DE4E8C">
          <w:pgSz w:w="11910" w:h="16840"/>
          <w:pgMar w:top="1700" w:right="1220" w:bottom="920" w:left="1180" w:header="567" w:footer="730" w:gutter="0"/>
          <w:cols w:space="720"/>
        </w:sectPr>
      </w:pPr>
      <w:r>
        <w:rPr>
          <w:color w:val="4D4D4F"/>
          <w:sz w:val="18"/>
        </w:rPr>
        <w:t>Source: ABS, 2019</w:t>
      </w:r>
    </w:p>
    <w:p w14:paraId="4D55CC40" w14:textId="77777777" w:rsidR="00DE4E8C" w:rsidRDefault="00DE4E8C">
      <w:pPr>
        <w:pStyle w:val="BodyText"/>
        <w:spacing w:before="1"/>
        <w:ind w:left="260" w:right="214"/>
        <w:jc w:val="both"/>
      </w:pPr>
    </w:p>
    <w:p w14:paraId="78ABEAA0" w14:textId="58263897" w:rsidR="0098332C" w:rsidRDefault="00DF52BA">
      <w:pPr>
        <w:pStyle w:val="BodyText"/>
        <w:spacing w:before="1"/>
        <w:ind w:left="260" w:right="214"/>
        <w:jc w:val="both"/>
      </w:pPr>
      <w:r w:rsidRPr="00DF52BA">
        <w:t>Figure 6</w:t>
      </w:r>
      <w:r w:rsidR="002C2810" w:rsidRPr="00DF52BA">
        <w:t xml:space="preserve"> also shows</w:t>
      </w:r>
      <w:r w:rsidR="002C2810">
        <w:t xml:space="preserve"> that despite very high proportions of Aboriginal and Torres Strait Islander children being enrolled in preschool for 600 hours or more, across all community types, they are less likely than non-Indigenous children to attend at this level. In 2017, only 68% of all Aboriginal and Torres Strait Islander children enrolled in a preschool program attended for 600 hours or more a year. While this was an improvement from 2016 (65%) it was still 10 percentage points below the 2017 rate for non-Aboriginal and Torres Strait Islander children of 78% (Australian Government, 2019).</w:t>
      </w:r>
    </w:p>
    <w:p w14:paraId="7654E565" w14:textId="77777777" w:rsidR="0098332C" w:rsidRDefault="0098332C">
      <w:pPr>
        <w:pStyle w:val="BodyText"/>
        <w:spacing w:before="11"/>
        <w:rPr>
          <w:sz w:val="21"/>
        </w:rPr>
      </w:pPr>
    </w:p>
    <w:p w14:paraId="31F15BD6" w14:textId="732CB897" w:rsidR="0098332C" w:rsidRDefault="0045389A">
      <w:pPr>
        <w:pStyle w:val="BodyText"/>
        <w:ind w:left="260" w:right="211"/>
        <w:jc w:val="both"/>
      </w:pPr>
      <w:r>
        <w:t>A</w:t>
      </w:r>
      <w:r w:rsidR="002C2810">
        <w:t xml:space="preserve">ttendance at 600 hours or more varies considerably across jurisdictions for all children and for different groups of children. In 2017 for example, the rate for Aboriginal and Torres Strait Islander children varied from </w:t>
      </w:r>
      <w:r w:rsidR="005B18BE">
        <w:t>73</w:t>
      </w:r>
      <w:r w:rsidR="002C2810">
        <w:t xml:space="preserve">% in Queensland to </w:t>
      </w:r>
      <w:r w:rsidR="005B18BE">
        <w:t>36</w:t>
      </w:r>
      <w:r w:rsidR="002C2810">
        <w:t xml:space="preserve">% in South Australia and </w:t>
      </w:r>
      <w:r w:rsidR="005B18BE">
        <w:t>3</w:t>
      </w:r>
      <w:r w:rsidR="002C2810">
        <w:t xml:space="preserve">3% in the Northern Territory. This compared to the non-Indigenous rates of </w:t>
      </w:r>
      <w:r w:rsidR="005B18BE">
        <w:t>77</w:t>
      </w:r>
      <w:r w:rsidR="002C2810">
        <w:t xml:space="preserve">% in Queensland to </w:t>
      </w:r>
      <w:r w:rsidR="00B2681A">
        <w:t>6</w:t>
      </w:r>
      <w:r w:rsidR="005B18BE">
        <w:t>0</w:t>
      </w:r>
      <w:r w:rsidR="002C2810">
        <w:t>% per cent in Western Australia (</w:t>
      </w:r>
      <w:r w:rsidR="005B18BE" w:rsidRPr="005B18BE">
        <w:t>ABS Preschool Education, Australia</w:t>
      </w:r>
      <w:r w:rsidR="005B18BE">
        <w:t>, 2018</w:t>
      </w:r>
      <w:r w:rsidR="002C2810">
        <w:t>).</w:t>
      </w:r>
    </w:p>
    <w:p w14:paraId="135CFC3C" w14:textId="77777777" w:rsidR="0098332C" w:rsidRDefault="0098332C">
      <w:pPr>
        <w:pStyle w:val="BodyText"/>
        <w:spacing w:before="10"/>
        <w:rPr>
          <w:sz w:val="23"/>
        </w:rPr>
      </w:pPr>
    </w:p>
    <w:p w14:paraId="714534F4" w14:textId="35957F75" w:rsidR="0098332C" w:rsidRDefault="002C2810">
      <w:pPr>
        <w:pStyle w:val="Heading3"/>
      </w:pPr>
      <w:bookmarkStart w:id="38" w:name="_Toc27585807"/>
      <w:bookmarkStart w:id="39" w:name="_Toc27588222"/>
      <w:bookmarkStart w:id="40" w:name="_Toc75168402"/>
      <w:r>
        <w:rPr>
          <w:color w:val="001F5F"/>
        </w:rPr>
        <w:t>Service delivery</w:t>
      </w:r>
      <w:bookmarkEnd w:id="38"/>
      <w:bookmarkEnd w:id="39"/>
      <w:bookmarkEnd w:id="40"/>
    </w:p>
    <w:p w14:paraId="070D6676" w14:textId="77777777" w:rsidR="0098332C" w:rsidRDefault="0098332C">
      <w:pPr>
        <w:pStyle w:val="BodyText"/>
        <w:rPr>
          <w:b/>
        </w:rPr>
      </w:pPr>
    </w:p>
    <w:p w14:paraId="28206D0C" w14:textId="6EF41354" w:rsidR="0098332C" w:rsidRDefault="002C2810">
      <w:pPr>
        <w:pStyle w:val="BodyText"/>
        <w:spacing w:before="1"/>
        <w:ind w:left="260" w:right="212"/>
        <w:jc w:val="both"/>
      </w:pPr>
      <w:r>
        <w:t>The Ea</w:t>
      </w:r>
      <w:r w:rsidR="0045389A">
        <w:t>rly Childhood Education</w:t>
      </w:r>
      <w:r>
        <w:t xml:space="preserve"> sector provides a range of services for children based on their age and education, care and development needs. ECE services provide the following broad service types:</w:t>
      </w:r>
    </w:p>
    <w:p w14:paraId="7F043754" w14:textId="77777777" w:rsidR="0098332C" w:rsidRDefault="002C2810" w:rsidP="00D505E0">
      <w:pPr>
        <w:pStyle w:val="ListParagraph"/>
        <w:numPr>
          <w:ilvl w:val="0"/>
          <w:numId w:val="14"/>
        </w:numPr>
        <w:tabs>
          <w:tab w:val="left" w:pos="981"/>
        </w:tabs>
        <w:ind w:left="980" w:right="217" w:hanging="360"/>
      </w:pPr>
      <w:r>
        <w:rPr>
          <w:b/>
        </w:rPr>
        <w:t xml:space="preserve">Child care services </w:t>
      </w:r>
      <w:r>
        <w:t>— provide education and care services to children aged 0–12 years including the following service types: long day care (LDC); family day care; outside school hours care (OSHC); occasional care; and other</w:t>
      </w:r>
      <w:r>
        <w:rPr>
          <w:spacing w:val="-10"/>
        </w:rPr>
        <w:t xml:space="preserve"> </w:t>
      </w:r>
      <w:r>
        <w:t>care.</w:t>
      </w:r>
    </w:p>
    <w:p w14:paraId="5FCB86C7" w14:textId="17A1701D" w:rsidR="0098332C" w:rsidRDefault="002C2810" w:rsidP="00D505E0">
      <w:pPr>
        <w:pStyle w:val="ListParagraph"/>
        <w:numPr>
          <w:ilvl w:val="0"/>
          <w:numId w:val="14"/>
        </w:numPr>
        <w:tabs>
          <w:tab w:val="left" w:pos="981"/>
        </w:tabs>
        <w:ind w:left="980" w:right="215" w:hanging="360"/>
      </w:pPr>
      <w:r>
        <w:rPr>
          <w:b/>
        </w:rPr>
        <w:t xml:space="preserve">Preschool services </w:t>
      </w:r>
      <w:r>
        <w:t xml:space="preserve">— are services that deliver a preschool program. A ‘preschool program’ is a structured, </w:t>
      </w:r>
      <w:r w:rsidR="00E66D75">
        <w:t xml:space="preserve">intentional, </w:t>
      </w:r>
      <w:r>
        <w:t xml:space="preserve">play-based learning program, delivered by a qualified teacher, aimed at children in the year or two before they commence </w:t>
      </w:r>
      <w:r w:rsidR="00A65D8F">
        <w:t>full-time</w:t>
      </w:r>
      <w:r>
        <w:t xml:space="preserve"> schooling.</w:t>
      </w:r>
    </w:p>
    <w:p w14:paraId="0667807C" w14:textId="77777777" w:rsidR="0098332C" w:rsidRDefault="0098332C">
      <w:pPr>
        <w:pStyle w:val="BodyText"/>
        <w:spacing w:before="5"/>
      </w:pPr>
    </w:p>
    <w:p w14:paraId="4BB8CA3F" w14:textId="0434CD6A" w:rsidR="0098332C" w:rsidRDefault="002C2810">
      <w:pPr>
        <w:pStyle w:val="BodyText"/>
        <w:ind w:left="260" w:right="215"/>
        <w:jc w:val="both"/>
      </w:pPr>
      <w:r>
        <w:t>While, a mix of service provision exists within all of the states and territories, two distinct models can be identified (Dowling &amp; O'Malle</w:t>
      </w:r>
      <w:r w:rsidR="00316F55">
        <w:t>y, 2009). The first is where preschool</w:t>
      </w:r>
      <w:r>
        <w:t xml:space="preserve"> is primarily funded and delivered by government (Government Model), and the second is where the government subsidises </w:t>
      </w:r>
      <w:r w:rsidR="00316F55">
        <w:t>preschool</w:t>
      </w:r>
      <w:r>
        <w:t xml:space="preserve"> but the service is primarily delivered by non-government agencies (Non-Government Model), as shown in Table 4</w:t>
      </w:r>
      <w:r w:rsidR="006E638B">
        <w:t>.</w:t>
      </w:r>
    </w:p>
    <w:p w14:paraId="0B33AB61" w14:textId="77777777" w:rsidR="0098332C" w:rsidRDefault="0098332C">
      <w:pPr>
        <w:pStyle w:val="BodyText"/>
        <w:spacing w:before="10"/>
        <w:rPr>
          <w:sz w:val="21"/>
        </w:rPr>
      </w:pPr>
    </w:p>
    <w:p w14:paraId="07BF0AE2" w14:textId="7EB5A04C" w:rsidR="0098332C" w:rsidRDefault="002C2810" w:rsidP="00D464BF">
      <w:pPr>
        <w:pStyle w:val="BodyText"/>
        <w:ind w:left="260" w:right="215"/>
        <w:jc w:val="both"/>
      </w:pPr>
      <w:r>
        <w:t xml:space="preserve">While no state or territory system fits wholly within one or other of these models, the provision of </w:t>
      </w:r>
      <w:r w:rsidR="00316F55">
        <w:t>preschool</w:t>
      </w:r>
      <w:r>
        <w:t xml:space="preserve"> in the Australian Capital Territory, the Northern Territory, South Australia, Tasmania and Western Australia can be said to align more closely with the first model and in New South Wales, Queensland and Victoria, government subsidises services that are delivered by other agencies. However, all jurisdictions in</w:t>
      </w:r>
      <w:r w:rsidR="00CF7F2F">
        <w:t xml:space="preserve">volve a mix of the two and the </w:t>
      </w:r>
      <w:r>
        <w:t>reality is more complex than the models suggest (Australian Institute of Family Studies, 2013).</w:t>
      </w:r>
    </w:p>
    <w:p w14:paraId="18D36CD0" w14:textId="06A38B4D" w:rsidR="00D464BF" w:rsidRDefault="00D464BF">
      <w:r>
        <w:br w:type="page"/>
      </w:r>
    </w:p>
    <w:p w14:paraId="4B23B69B" w14:textId="77777777" w:rsidR="00D464BF" w:rsidRDefault="00D464BF" w:rsidP="00D464BF">
      <w:pPr>
        <w:pStyle w:val="BodyText"/>
        <w:ind w:left="260" w:right="215"/>
        <w:jc w:val="both"/>
      </w:pPr>
    </w:p>
    <w:p w14:paraId="47114795" w14:textId="77777777" w:rsidR="0098332C" w:rsidRDefault="002C2810">
      <w:pPr>
        <w:ind w:left="260"/>
        <w:jc w:val="both"/>
        <w:rPr>
          <w:b/>
          <w:sz w:val="20"/>
        </w:rPr>
      </w:pPr>
      <w:r>
        <w:rPr>
          <w:b/>
          <w:color w:val="001F5F"/>
          <w:sz w:val="20"/>
        </w:rPr>
        <w:t>Table 4: Government and Non-Government models of preschool</w:t>
      </w:r>
    </w:p>
    <w:p w14:paraId="7CF403E7" w14:textId="77777777" w:rsidR="0098332C" w:rsidRDefault="0098332C">
      <w:pPr>
        <w:pStyle w:val="BodyText"/>
        <w:spacing w:before="3"/>
        <w:rPr>
          <w:b/>
          <w:sz w:val="20"/>
        </w:rPr>
      </w:pPr>
    </w:p>
    <w:tbl>
      <w:tblPr>
        <w:tblW w:w="0" w:type="auto"/>
        <w:tblInd w:w="11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4570"/>
        <w:gridCol w:w="4570"/>
      </w:tblGrid>
      <w:tr w:rsidR="0098332C" w14:paraId="1760960D" w14:textId="77777777">
        <w:trPr>
          <w:trHeight w:val="553"/>
        </w:trPr>
        <w:tc>
          <w:tcPr>
            <w:tcW w:w="4570" w:type="dxa"/>
            <w:tcBorders>
              <w:right w:val="nil"/>
            </w:tcBorders>
            <w:shd w:val="clear" w:color="auto" w:fill="F3F3F3"/>
          </w:tcPr>
          <w:p w14:paraId="3846C0E3" w14:textId="77777777" w:rsidR="0098332C" w:rsidRDefault="002C2810">
            <w:pPr>
              <w:pStyle w:val="TableParagraph"/>
              <w:spacing w:before="148"/>
              <w:ind w:left="150"/>
            </w:pPr>
            <w:r>
              <w:t>Model 1: Government model</w:t>
            </w:r>
          </w:p>
        </w:tc>
        <w:tc>
          <w:tcPr>
            <w:tcW w:w="4570" w:type="dxa"/>
            <w:tcBorders>
              <w:left w:val="nil"/>
            </w:tcBorders>
            <w:shd w:val="clear" w:color="auto" w:fill="F3F3F3"/>
          </w:tcPr>
          <w:p w14:paraId="0D6283A2" w14:textId="77777777" w:rsidR="0098332C" w:rsidRDefault="002C2810">
            <w:pPr>
              <w:pStyle w:val="TableParagraph"/>
              <w:spacing w:before="148"/>
              <w:ind w:left="158"/>
            </w:pPr>
            <w:r>
              <w:t>Model 2: Non-government model</w:t>
            </w:r>
          </w:p>
        </w:tc>
      </w:tr>
      <w:tr w:rsidR="0098332C" w14:paraId="4D759784" w14:textId="77777777">
        <w:trPr>
          <w:trHeight w:val="3695"/>
        </w:trPr>
        <w:tc>
          <w:tcPr>
            <w:tcW w:w="4570" w:type="dxa"/>
            <w:tcBorders>
              <w:right w:val="nil"/>
            </w:tcBorders>
          </w:tcPr>
          <w:p w14:paraId="6F692D0A" w14:textId="77777777" w:rsidR="0098332C" w:rsidRDefault="002C2810" w:rsidP="00D505E0">
            <w:pPr>
              <w:pStyle w:val="TableParagraph"/>
              <w:numPr>
                <w:ilvl w:val="0"/>
                <w:numId w:val="12"/>
              </w:numPr>
              <w:tabs>
                <w:tab w:val="left" w:pos="871"/>
              </w:tabs>
              <w:spacing w:before="94"/>
              <w:ind w:right="144"/>
              <w:jc w:val="both"/>
              <w:rPr>
                <w:sz w:val="20"/>
              </w:rPr>
            </w:pPr>
            <w:r>
              <w:rPr>
                <w:sz w:val="20"/>
              </w:rPr>
              <w:t xml:space="preserve">The state/territory government owns, funds and delivers the majority </w:t>
            </w:r>
            <w:r>
              <w:rPr>
                <w:spacing w:val="-6"/>
                <w:sz w:val="20"/>
              </w:rPr>
              <w:t xml:space="preserve">of </w:t>
            </w:r>
            <w:r>
              <w:rPr>
                <w:sz w:val="20"/>
              </w:rPr>
              <w:t>preschool</w:t>
            </w:r>
            <w:r>
              <w:rPr>
                <w:spacing w:val="-1"/>
                <w:sz w:val="20"/>
              </w:rPr>
              <w:t xml:space="preserve"> </w:t>
            </w:r>
            <w:r>
              <w:rPr>
                <w:sz w:val="20"/>
              </w:rPr>
              <w:t>services.</w:t>
            </w:r>
          </w:p>
          <w:p w14:paraId="30F1BAF1" w14:textId="77777777" w:rsidR="0098332C" w:rsidRDefault="002C2810" w:rsidP="00D505E0">
            <w:pPr>
              <w:pStyle w:val="TableParagraph"/>
              <w:numPr>
                <w:ilvl w:val="0"/>
                <w:numId w:val="12"/>
              </w:numPr>
              <w:tabs>
                <w:tab w:val="left" w:pos="871"/>
              </w:tabs>
              <w:ind w:right="143"/>
              <w:jc w:val="both"/>
              <w:rPr>
                <w:sz w:val="20"/>
              </w:rPr>
            </w:pPr>
            <w:r>
              <w:rPr>
                <w:sz w:val="20"/>
              </w:rPr>
              <w:t>Preschools are treated in much the same way as primary and secondary schools.</w:t>
            </w:r>
          </w:p>
          <w:p w14:paraId="449D6F04" w14:textId="26AD4BED" w:rsidR="0098332C" w:rsidRDefault="002C2810" w:rsidP="00D505E0">
            <w:pPr>
              <w:pStyle w:val="TableParagraph"/>
              <w:numPr>
                <w:ilvl w:val="0"/>
                <w:numId w:val="12"/>
              </w:numPr>
              <w:tabs>
                <w:tab w:val="left" w:pos="871"/>
              </w:tabs>
              <w:ind w:right="143"/>
              <w:jc w:val="both"/>
              <w:rPr>
                <w:sz w:val="20"/>
              </w:rPr>
            </w:pPr>
            <w:r>
              <w:rPr>
                <w:sz w:val="20"/>
              </w:rPr>
              <w:t xml:space="preserve">The jurisdiction may provide supplementary funding to preschools, but generally not to preschools in long day care centres, because they attract Commonwealth funding through the Child Care </w:t>
            </w:r>
            <w:r w:rsidR="00316F55">
              <w:rPr>
                <w:sz w:val="20"/>
              </w:rPr>
              <w:t>Subsidy</w:t>
            </w:r>
          </w:p>
          <w:p w14:paraId="66B8C085" w14:textId="77777777" w:rsidR="0098332C" w:rsidRDefault="002C2810" w:rsidP="00D505E0">
            <w:pPr>
              <w:pStyle w:val="TableParagraph"/>
              <w:numPr>
                <w:ilvl w:val="0"/>
                <w:numId w:val="12"/>
              </w:numPr>
              <w:tabs>
                <w:tab w:val="left" w:pos="871"/>
              </w:tabs>
              <w:spacing w:line="242" w:lineRule="auto"/>
              <w:ind w:right="141"/>
              <w:jc w:val="both"/>
              <w:rPr>
                <w:sz w:val="20"/>
              </w:rPr>
            </w:pPr>
            <w:r>
              <w:rPr>
                <w:sz w:val="20"/>
              </w:rPr>
              <w:t>The jurisdiction owns 70-90% of preschools.</w:t>
            </w:r>
          </w:p>
        </w:tc>
        <w:tc>
          <w:tcPr>
            <w:tcW w:w="4570" w:type="dxa"/>
            <w:tcBorders>
              <w:left w:val="nil"/>
            </w:tcBorders>
          </w:tcPr>
          <w:p w14:paraId="58BEA6E0" w14:textId="77777777" w:rsidR="0098332C" w:rsidRDefault="002C2810" w:rsidP="00CF7F2F">
            <w:pPr>
              <w:pStyle w:val="TableParagraph"/>
              <w:numPr>
                <w:ilvl w:val="0"/>
                <w:numId w:val="11"/>
              </w:numPr>
              <w:tabs>
                <w:tab w:val="left" w:pos="879"/>
              </w:tabs>
              <w:spacing w:before="94"/>
              <w:ind w:right="132"/>
              <w:jc w:val="both"/>
              <w:rPr>
                <w:sz w:val="20"/>
              </w:rPr>
            </w:pPr>
            <w:r>
              <w:rPr>
                <w:sz w:val="20"/>
              </w:rPr>
              <w:t xml:space="preserve">The state government subsidises preschool services that are provided </w:t>
            </w:r>
            <w:r>
              <w:rPr>
                <w:spacing w:val="-4"/>
                <w:sz w:val="20"/>
              </w:rPr>
              <w:t xml:space="preserve">by </w:t>
            </w:r>
            <w:r>
              <w:rPr>
                <w:sz w:val="20"/>
              </w:rPr>
              <w:t>non-government</w:t>
            </w:r>
            <w:r>
              <w:rPr>
                <w:spacing w:val="-2"/>
                <w:sz w:val="20"/>
              </w:rPr>
              <w:t xml:space="preserve"> </w:t>
            </w:r>
            <w:r>
              <w:rPr>
                <w:sz w:val="20"/>
              </w:rPr>
              <w:t>organisations.</w:t>
            </w:r>
          </w:p>
          <w:p w14:paraId="2514C32E" w14:textId="5AADCA9C" w:rsidR="0098332C" w:rsidRDefault="002C2810" w:rsidP="00CF7F2F">
            <w:pPr>
              <w:pStyle w:val="TableParagraph"/>
              <w:numPr>
                <w:ilvl w:val="0"/>
                <w:numId w:val="11"/>
              </w:numPr>
              <w:tabs>
                <w:tab w:val="left" w:pos="879"/>
              </w:tabs>
              <w:ind w:right="134"/>
              <w:jc w:val="both"/>
              <w:rPr>
                <w:sz w:val="20"/>
              </w:rPr>
            </w:pPr>
            <w:r>
              <w:rPr>
                <w:sz w:val="20"/>
              </w:rPr>
              <w:t xml:space="preserve">Preschools in long day care centres charge some fees and </w:t>
            </w:r>
            <w:r>
              <w:rPr>
                <w:spacing w:val="-3"/>
                <w:sz w:val="20"/>
              </w:rPr>
              <w:t xml:space="preserve">attract </w:t>
            </w:r>
            <w:r>
              <w:rPr>
                <w:sz w:val="20"/>
              </w:rPr>
              <w:t xml:space="preserve">Commonwealth funding through the </w:t>
            </w:r>
            <w:r w:rsidR="00CC180E">
              <w:rPr>
                <w:sz w:val="20"/>
              </w:rPr>
              <w:t>child care system</w:t>
            </w:r>
            <w:r>
              <w:rPr>
                <w:sz w:val="20"/>
              </w:rPr>
              <w:t>.</w:t>
            </w:r>
          </w:p>
          <w:p w14:paraId="28909374" w14:textId="3CD2A726" w:rsidR="0098332C" w:rsidRDefault="002C2810" w:rsidP="00CF7F2F">
            <w:pPr>
              <w:pStyle w:val="TableParagraph"/>
              <w:numPr>
                <w:ilvl w:val="0"/>
                <w:numId w:val="11"/>
              </w:numPr>
              <w:tabs>
                <w:tab w:val="left" w:pos="879"/>
              </w:tabs>
              <w:ind w:right="134"/>
              <w:jc w:val="both"/>
              <w:rPr>
                <w:sz w:val="20"/>
              </w:rPr>
            </w:pPr>
            <w:r>
              <w:rPr>
                <w:sz w:val="20"/>
              </w:rPr>
              <w:t>The</w:t>
            </w:r>
            <w:r w:rsidR="00D505E0">
              <w:rPr>
                <w:sz w:val="20"/>
              </w:rPr>
              <w:t xml:space="preserve"> </w:t>
            </w:r>
            <w:r w:rsidR="00CC180E">
              <w:rPr>
                <w:sz w:val="20"/>
              </w:rPr>
              <w:t xml:space="preserve">state or territory </w:t>
            </w:r>
            <w:r>
              <w:rPr>
                <w:sz w:val="20"/>
              </w:rPr>
              <w:t>government owns fewer than 20% of preschools, and these are generally targeted at disadvantaged communities, in contrast to government schools, which are</w:t>
            </w:r>
            <w:r>
              <w:rPr>
                <w:spacing w:val="-1"/>
                <w:sz w:val="20"/>
              </w:rPr>
              <w:t xml:space="preserve"> </w:t>
            </w:r>
            <w:r>
              <w:rPr>
                <w:sz w:val="20"/>
              </w:rPr>
              <w:t>comprehensive.</w:t>
            </w:r>
          </w:p>
        </w:tc>
      </w:tr>
    </w:tbl>
    <w:p w14:paraId="33427CA5" w14:textId="77777777" w:rsidR="0098332C" w:rsidRDefault="002C2810">
      <w:pPr>
        <w:ind w:left="260"/>
        <w:jc w:val="both"/>
        <w:rPr>
          <w:sz w:val="18"/>
        </w:rPr>
      </w:pPr>
      <w:r>
        <w:rPr>
          <w:sz w:val="18"/>
        </w:rPr>
        <w:t>Source: Australian Institute of Family Studies, 2013.</w:t>
      </w:r>
    </w:p>
    <w:p w14:paraId="18B489AE" w14:textId="77777777" w:rsidR="0098332C" w:rsidRDefault="0098332C">
      <w:pPr>
        <w:pStyle w:val="BodyText"/>
        <w:spacing w:before="8"/>
        <w:rPr>
          <w:sz w:val="21"/>
        </w:rPr>
      </w:pPr>
    </w:p>
    <w:p w14:paraId="6112937A" w14:textId="48E42482" w:rsidR="0098332C" w:rsidRDefault="002C2810">
      <w:pPr>
        <w:pStyle w:val="Heading3"/>
      </w:pPr>
      <w:bookmarkStart w:id="41" w:name="_Toc27585808"/>
      <w:bookmarkStart w:id="42" w:name="_Toc27588223"/>
      <w:bookmarkStart w:id="43" w:name="_Toc75168403"/>
      <w:r>
        <w:rPr>
          <w:color w:val="001F5F"/>
        </w:rPr>
        <w:t>Preschool services</w:t>
      </w:r>
      <w:bookmarkEnd w:id="41"/>
      <w:bookmarkEnd w:id="42"/>
      <w:bookmarkEnd w:id="43"/>
    </w:p>
    <w:p w14:paraId="20B0A329" w14:textId="32F91886" w:rsidR="0098332C" w:rsidRDefault="002C2810">
      <w:pPr>
        <w:pStyle w:val="BodyText"/>
        <w:spacing w:before="2"/>
        <w:ind w:left="260" w:right="215"/>
        <w:jc w:val="both"/>
      </w:pPr>
      <w:r>
        <w:t xml:space="preserve">State and territory governments </w:t>
      </w:r>
      <w:r w:rsidR="00CC180E">
        <w:t>are responsible for the delivery of</w:t>
      </w:r>
      <w:r>
        <w:t xml:space="preserve"> preschool in Australia. </w:t>
      </w:r>
      <w:r w:rsidR="00CC180E">
        <w:t xml:space="preserve">As a result of this, there </w:t>
      </w:r>
      <w:r>
        <w:t>is considerable variation</w:t>
      </w:r>
      <w:r w:rsidR="00CC180E">
        <w:t xml:space="preserve"> </w:t>
      </w:r>
      <w:r w:rsidR="00D505E0">
        <w:t>in between</w:t>
      </w:r>
      <w:r w:rsidR="00CC180E">
        <w:t xml:space="preserve"> </w:t>
      </w:r>
      <w:r w:rsidR="00D505E0">
        <w:t>jurisdictions the</w:t>
      </w:r>
      <w:r w:rsidR="00CC180E">
        <w:t xml:space="preserve"> </w:t>
      </w:r>
      <w:r>
        <w:t xml:space="preserve">nomenclature and in the </w:t>
      </w:r>
      <w:r w:rsidR="00CC180E">
        <w:t>preschool starting age (see Table 5)</w:t>
      </w:r>
    </w:p>
    <w:p w14:paraId="71BC0B1F" w14:textId="77777777" w:rsidR="0098332C" w:rsidRDefault="0098332C">
      <w:pPr>
        <w:pStyle w:val="BodyText"/>
        <w:spacing w:before="2"/>
        <w:rPr>
          <w:sz w:val="12"/>
        </w:rPr>
      </w:pPr>
    </w:p>
    <w:p w14:paraId="5603A7C3" w14:textId="77777777" w:rsidR="0098332C" w:rsidRDefault="002C2810">
      <w:pPr>
        <w:spacing w:before="93"/>
        <w:ind w:left="260"/>
        <w:rPr>
          <w:b/>
          <w:sz w:val="20"/>
        </w:rPr>
      </w:pPr>
      <w:r>
        <w:rPr>
          <w:b/>
          <w:color w:val="001F5F"/>
          <w:sz w:val="20"/>
        </w:rPr>
        <w:t>Table 5: Preschool programs in Australia</w:t>
      </w:r>
    </w:p>
    <w:p w14:paraId="6547B549" w14:textId="77777777" w:rsidR="0098332C" w:rsidRDefault="0098332C">
      <w:pPr>
        <w:pStyle w:val="BodyText"/>
        <w:spacing w:before="3" w:after="1"/>
        <w:rPr>
          <w:b/>
          <w:sz w:val="20"/>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050"/>
        <w:gridCol w:w="2571"/>
        <w:gridCol w:w="2312"/>
      </w:tblGrid>
      <w:tr w:rsidR="0098332C" w14:paraId="3443DCF1" w14:textId="77777777">
        <w:trPr>
          <w:trHeight w:val="688"/>
        </w:trPr>
        <w:tc>
          <w:tcPr>
            <w:tcW w:w="2311" w:type="dxa"/>
          </w:tcPr>
          <w:p w14:paraId="0B029C5F" w14:textId="77777777" w:rsidR="0098332C" w:rsidRDefault="002C2810">
            <w:pPr>
              <w:pStyle w:val="TableParagraph"/>
              <w:spacing w:line="227" w:lineRule="exact"/>
              <w:ind w:left="115"/>
              <w:rPr>
                <w:b/>
                <w:sz w:val="20"/>
              </w:rPr>
            </w:pPr>
            <w:r>
              <w:rPr>
                <w:b/>
                <w:color w:val="001F5F"/>
                <w:sz w:val="20"/>
              </w:rPr>
              <w:t>State/Territory</w:t>
            </w:r>
          </w:p>
        </w:tc>
        <w:tc>
          <w:tcPr>
            <w:tcW w:w="2050" w:type="dxa"/>
          </w:tcPr>
          <w:p w14:paraId="7E359CBC" w14:textId="77777777" w:rsidR="0098332C" w:rsidRDefault="002C2810">
            <w:pPr>
              <w:pStyle w:val="TableParagraph"/>
              <w:spacing w:line="227" w:lineRule="exact"/>
              <w:ind w:left="115"/>
              <w:rPr>
                <w:b/>
                <w:sz w:val="20"/>
              </w:rPr>
            </w:pPr>
            <w:r>
              <w:rPr>
                <w:b/>
                <w:color w:val="001F5F"/>
                <w:sz w:val="20"/>
              </w:rPr>
              <w:t>Program name</w:t>
            </w:r>
          </w:p>
        </w:tc>
        <w:tc>
          <w:tcPr>
            <w:tcW w:w="2571" w:type="dxa"/>
          </w:tcPr>
          <w:p w14:paraId="69CAC949" w14:textId="77777777" w:rsidR="0098332C" w:rsidRDefault="002C2810">
            <w:pPr>
              <w:pStyle w:val="TableParagraph"/>
              <w:spacing w:line="227" w:lineRule="exact"/>
              <w:ind w:left="115"/>
              <w:rPr>
                <w:b/>
                <w:sz w:val="20"/>
              </w:rPr>
            </w:pPr>
            <w:r>
              <w:rPr>
                <w:b/>
                <w:color w:val="001F5F"/>
                <w:sz w:val="20"/>
              </w:rPr>
              <w:t>Age of entry —</w:t>
            </w:r>
          </w:p>
          <w:p w14:paraId="2398F26D" w14:textId="77777777" w:rsidR="0098332C" w:rsidRDefault="002C2810">
            <w:pPr>
              <w:pStyle w:val="TableParagraph"/>
              <w:spacing w:before="5" w:line="228" w:lineRule="exact"/>
              <w:ind w:left="115"/>
              <w:rPr>
                <w:b/>
                <w:sz w:val="20"/>
              </w:rPr>
            </w:pPr>
            <w:r>
              <w:rPr>
                <w:b/>
                <w:color w:val="001F5F"/>
                <w:sz w:val="20"/>
              </w:rPr>
              <w:t>preschool program in YBFS</w:t>
            </w:r>
          </w:p>
        </w:tc>
        <w:tc>
          <w:tcPr>
            <w:tcW w:w="2312" w:type="dxa"/>
          </w:tcPr>
          <w:p w14:paraId="3D991192" w14:textId="77777777" w:rsidR="0098332C" w:rsidRDefault="002C2810">
            <w:pPr>
              <w:pStyle w:val="TableParagraph"/>
              <w:ind w:left="115" w:right="744"/>
              <w:rPr>
                <w:b/>
                <w:sz w:val="20"/>
              </w:rPr>
            </w:pPr>
            <w:r>
              <w:rPr>
                <w:b/>
                <w:color w:val="001F5F"/>
                <w:sz w:val="20"/>
              </w:rPr>
              <w:t>Age of entry — school</w:t>
            </w:r>
          </w:p>
        </w:tc>
      </w:tr>
      <w:tr w:rsidR="0098332C" w14:paraId="101ECAF9" w14:textId="77777777">
        <w:trPr>
          <w:trHeight w:val="230"/>
        </w:trPr>
        <w:tc>
          <w:tcPr>
            <w:tcW w:w="2311" w:type="dxa"/>
          </w:tcPr>
          <w:p w14:paraId="2A7FC74B" w14:textId="77777777" w:rsidR="0098332C" w:rsidRDefault="002C2810">
            <w:pPr>
              <w:pStyle w:val="TableParagraph"/>
              <w:spacing w:line="210" w:lineRule="exact"/>
              <w:ind w:left="115"/>
              <w:rPr>
                <w:sz w:val="20"/>
              </w:rPr>
            </w:pPr>
            <w:r>
              <w:rPr>
                <w:sz w:val="20"/>
              </w:rPr>
              <w:t>ACT</w:t>
            </w:r>
          </w:p>
        </w:tc>
        <w:tc>
          <w:tcPr>
            <w:tcW w:w="2050" w:type="dxa"/>
          </w:tcPr>
          <w:p w14:paraId="030D5580" w14:textId="77777777" w:rsidR="0098332C" w:rsidRDefault="002C2810">
            <w:pPr>
              <w:pStyle w:val="TableParagraph"/>
              <w:spacing w:line="210" w:lineRule="exact"/>
              <w:ind w:left="115"/>
              <w:rPr>
                <w:sz w:val="20"/>
              </w:rPr>
            </w:pPr>
            <w:r>
              <w:rPr>
                <w:sz w:val="20"/>
              </w:rPr>
              <w:t>Preschool</w:t>
            </w:r>
          </w:p>
        </w:tc>
        <w:tc>
          <w:tcPr>
            <w:tcW w:w="2571" w:type="dxa"/>
          </w:tcPr>
          <w:p w14:paraId="3195CD64" w14:textId="77777777" w:rsidR="0098332C" w:rsidRDefault="002C2810">
            <w:pPr>
              <w:pStyle w:val="TableParagraph"/>
              <w:spacing w:line="210" w:lineRule="exact"/>
              <w:ind w:left="115"/>
              <w:rPr>
                <w:sz w:val="20"/>
              </w:rPr>
            </w:pPr>
            <w:r>
              <w:rPr>
                <w:sz w:val="20"/>
              </w:rPr>
              <w:t>4 by 30 April</w:t>
            </w:r>
          </w:p>
        </w:tc>
        <w:tc>
          <w:tcPr>
            <w:tcW w:w="2312" w:type="dxa"/>
          </w:tcPr>
          <w:p w14:paraId="5AF55084" w14:textId="77777777" w:rsidR="0098332C" w:rsidRDefault="002C2810">
            <w:pPr>
              <w:pStyle w:val="TableParagraph"/>
              <w:spacing w:line="210" w:lineRule="exact"/>
              <w:ind w:left="115"/>
              <w:rPr>
                <w:sz w:val="20"/>
              </w:rPr>
            </w:pPr>
            <w:r>
              <w:rPr>
                <w:sz w:val="20"/>
              </w:rPr>
              <w:t>5 by 30 April</w:t>
            </w:r>
          </w:p>
        </w:tc>
      </w:tr>
      <w:tr w:rsidR="0098332C" w14:paraId="3D897E00" w14:textId="77777777">
        <w:trPr>
          <w:trHeight w:val="230"/>
        </w:trPr>
        <w:tc>
          <w:tcPr>
            <w:tcW w:w="2311" w:type="dxa"/>
          </w:tcPr>
          <w:p w14:paraId="085D5EF8" w14:textId="77777777" w:rsidR="0098332C" w:rsidRDefault="002C2810">
            <w:pPr>
              <w:pStyle w:val="TableParagraph"/>
              <w:spacing w:line="210" w:lineRule="exact"/>
              <w:ind w:left="115"/>
              <w:rPr>
                <w:sz w:val="20"/>
              </w:rPr>
            </w:pPr>
            <w:r>
              <w:rPr>
                <w:sz w:val="20"/>
              </w:rPr>
              <w:t>NSW</w:t>
            </w:r>
          </w:p>
        </w:tc>
        <w:tc>
          <w:tcPr>
            <w:tcW w:w="2050" w:type="dxa"/>
          </w:tcPr>
          <w:p w14:paraId="0110FF87" w14:textId="77777777" w:rsidR="0098332C" w:rsidRDefault="002C2810">
            <w:pPr>
              <w:pStyle w:val="TableParagraph"/>
              <w:spacing w:line="210" w:lineRule="exact"/>
              <w:ind w:left="115"/>
              <w:rPr>
                <w:sz w:val="20"/>
              </w:rPr>
            </w:pPr>
            <w:r>
              <w:rPr>
                <w:sz w:val="20"/>
              </w:rPr>
              <w:t>Preschool</w:t>
            </w:r>
          </w:p>
        </w:tc>
        <w:tc>
          <w:tcPr>
            <w:tcW w:w="2571" w:type="dxa"/>
          </w:tcPr>
          <w:p w14:paraId="042790B3" w14:textId="77777777" w:rsidR="0098332C" w:rsidRDefault="002C2810">
            <w:pPr>
              <w:pStyle w:val="TableParagraph"/>
              <w:spacing w:line="210" w:lineRule="exact"/>
              <w:ind w:left="115"/>
              <w:rPr>
                <w:sz w:val="20"/>
              </w:rPr>
            </w:pPr>
            <w:r>
              <w:rPr>
                <w:sz w:val="20"/>
              </w:rPr>
              <w:t>Generally aged 4 and 5</w:t>
            </w:r>
          </w:p>
        </w:tc>
        <w:tc>
          <w:tcPr>
            <w:tcW w:w="2312" w:type="dxa"/>
          </w:tcPr>
          <w:p w14:paraId="7CE6CE69" w14:textId="77777777" w:rsidR="0098332C" w:rsidRDefault="002C2810">
            <w:pPr>
              <w:pStyle w:val="TableParagraph"/>
              <w:spacing w:line="210" w:lineRule="exact"/>
              <w:ind w:left="115"/>
              <w:rPr>
                <w:sz w:val="20"/>
              </w:rPr>
            </w:pPr>
            <w:r>
              <w:rPr>
                <w:sz w:val="20"/>
              </w:rPr>
              <w:t>5 by 31 July</w:t>
            </w:r>
          </w:p>
        </w:tc>
      </w:tr>
      <w:tr w:rsidR="0098332C" w14:paraId="43C7B76C" w14:textId="77777777">
        <w:trPr>
          <w:trHeight w:val="230"/>
        </w:trPr>
        <w:tc>
          <w:tcPr>
            <w:tcW w:w="2311" w:type="dxa"/>
          </w:tcPr>
          <w:p w14:paraId="5EB39725" w14:textId="77777777" w:rsidR="0098332C" w:rsidRDefault="002C2810">
            <w:pPr>
              <w:pStyle w:val="TableParagraph"/>
              <w:spacing w:line="210" w:lineRule="exact"/>
              <w:ind w:left="115"/>
              <w:rPr>
                <w:sz w:val="20"/>
              </w:rPr>
            </w:pPr>
            <w:r>
              <w:rPr>
                <w:sz w:val="20"/>
              </w:rPr>
              <w:t>NT</w:t>
            </w:r>
          </w:p>
        </w:tc>
        <w:tc>
          <w:tcPr>
            <w:tcW w:w="2050" w:type="dxa"/>
          </w:tcPr>
          <w:p w14:paraId="2ABA5BC8" w14:textId="77777777" w:rsidR="0098332C" w:rsidRDefault="002C2810">
            <w:pPr>
              <w:pStyle w:val="TableParagraph"/>
              <w:spacing w:line="210" w:lineRule="exact"/>
              <w:ind w:left="115"/>
              <w:rPr>
                <w:sz w:val="20"/>
              </w:rPr>
            </w:pPr>
            <w:r>
              <w:rPr>
                <w:sz w:val="20"/>
              </w:rPr>
              <w:t>Preschool</w:t>
            </w:r>
          </w:p>
        </w:tc>
        <w:tc>
          <w:tcPr>
            <w:tcW w:w="2571" w:type="dxa"/>
          </w:tcPr>
          <w:p w14:paraId="4A5FCC5D" w14:textId="77777777" w:rsidR="0098332C" w:rsidRDefault="002C2810">
            <w:pPr>
              <w:pStyle w:val="TableParagraph"/>
              <w:spacing w:line="210" w:lineRule="exact"/>
              <w:ind w:left="115"/>
              <w:rPr>
                <w:sz w:val="20"/>
              </w:rPr>
            </w:pPr>
            <w:r>
              <w:rPr>
                <w:sz w:val="20"/>
              </w:rPr>
              <w:t>4 by 30 June</w:t>
            </w:r>
          </w:p>
        </w:tc>
        <w:tc>
          <w:tcPr>
            <w:tcW w:w="2312" w:type="dxa"/>
          </w:tcPr>
          <w:p w14:paraId="582FFB47" w14:textId="77777777" w:rsidR="0098332C" w:rsidRDefault="002C2810">
            <w:pPr>
              <w:pStyle w:val="TableParagraph"/>
              <w:spacing w:line="210" w:lineRule="exact"/>
              <w:ind w:left="115"/>
              <w:rPr>
                <w:sz w:val="20"/>
              </w:rPr>
            </w:pPr>
            <w:r>
              <w:rPr>
                <w:sz w:val="20"/>
              </w:rPr>
              <w:t>5 by 30 June</w:t>
            </w:r>
          </w:p>
        </w:tc>
      </w:tr>
      <w:tr w:rsidR="0098332C" w14:paraId="719F6182" w14:textId="77777777">
        <w:trPr>
          <w:trHeight w:val="230"/>
        </w:trPr>
        <w:tc>
          <w:tcPr>
            <w:tcW w:w="2311" w:type="dxa"/>
          </w:tcPr>
          <w:p w14:paraId="5FD481E6" w14:textId="77777777" w:rsidR="0098332C" w:rsidRDefault="002C2810">
            <w:pPr>
              <w:pStyle w:val="TableParagraph"/>
              <w:spacing w:line="210" w:lineRule="exact"/>
              <w:ind w:left="115"/>
              <w:rPr>
                <w:sz w:val="20"/>
              </w:rPr>
            </w:pPr>
            <w:r>
              <w:rPr>
                <w:sz w:val="20"/>
              </w:rPr>
              <w:t>QLD</w:t>
            </w:r>
          </w:p>
        </w:tc>
        <w:tc>
          <w:tcPr>
            <w:tcW w:w="2050" w:type="dxa"/>
          </w:tcPr>
          <w:p w14:paraId="76884252" w14:textId="77777777" w:rsidR="0098332C" w:rsidRDefault="002C2810">
            <w:pPr>
              <w:pStyle w:val="TableParagraph"/>
              <w:spacing w:line="210" w:lineRule="exact"/>
              <w:ind w:left="115"/>
              <w:rPr>
                <w:sz w:val="20"/>
              </w:rPr>
            </w:pPr>
            <w:r>
              <w:rPr>
                <w:sz w:val="20"/>
              </w:rPr>
              <w:t>Kindergarten</w:t>
            </w:r>
          </w:p>
        </w:tc>
        <w:tc>
          <w:tcPr>
            <w:tcW w:w="2571" w:type="dxa"/>
          </w:tcPr>
          <w:p w14:paraId="646547F6" w14:textId="77777777" w:rsidR="0098332C" w:rsidRDefault="002C2810">
            <w:pPr>
              <w:pStyle w:val="TableParagraph"/>
              <w:spacing w:line="210" w:lineRule="exact"/>
              <w:ind w:left="115"/>
              <w:rPr>
                <w:sz w:val="20"/>
              </w:rPr>
            </w:pPr>
            <w:r>
              <w:rPr>
                <w:sz w:val="20"/>
              </w:rPr>
              <w:t>4 by 30 June</w:t>
            </w:r>
          </w:p>
        </w:tc>
        <w:tc>
          <w:tcPr>
            <w:tcW w:w="2312" w:type="dxa"/>
          </w:tcPr>
          <w:p w14:paraId="1C869218" w14:textId="77777777" w:rsidR="0098332C" w:rsidRDefault="002C2810">
            <w:pPr>
              <w:pStyle w:val="TableParagraph"/>
              <w:spacing w:line="210" w:lineRule="exact"/>
              <w:ind w:left="115"/>
              <w:rPr>
                <w:sz w:val="20"/>
              </w:rPr>
            </w:pPr>
            <w:r>
              <w:rPr>
                <w:sz w:val="20"/>
              </w:rPr>
              <w:t>5 by 30 June</w:t>
            </w:r>
          </w:p>
        </w:tc>
      </w:tr>
      <w:tr w:rsidR="0098332C" w14:paraId="10C5405F" w14:textId="77777777">
        <w:trPr>
          <w:trHeight w:val="230"/>
        </w:trPr>
        <w:tc>
          <w:tcPr>
            <w:tcW w:w="2311" w:type="dxa"/>
          </w:tcPr>
          <w:p w14:paraId="0A6C9A50" w14:textId="77777777" w:rsidR="0098332C" w:rsidRDefault="002C2810">
            <w:pPr>
              <w:pStyle w:val="TableParagraph"/>
              <w:spacing w:line="210" w:lineRule="exact"/>
              <w:ind w:left="115"/>
              <w:rPr>
                <w:sz w:val="20"/>
              </w:rPr>
            </w:pPr>
            <w:r>
              <w:rPr>
                <w:sz w:val="20"/>
              </w:rPr>
              <w:t>SA</w:t>
            </w:r>
          </w:p>
        </w:tc>
        <w:tc>
          <w:tcPr>
            <w:tcW w:w="2050" w:type="dxa"/>
          </w:tcPr>
          <w:p w14:paraId="036899B3" w14:textId="77777777" w:rsidR="0098332C" w:rsidRDefault="002C2810">
            <w:pPr>
              <w:pStyle w:val="TableParagraph"/>
              <w:spacing w:line="210" w:lineRule="exact"/>
              <w:ind w:left="115"/>
              <w:rPr>
                <w:sz w:val="20"/>
              </w:rPr>
            </w:pPr>
            <w:r>
              <w:rPr>
                <w:sz w:val="20"/>
              </w:rPr>
              <w:t>Preschool</w:t>
            </w:r>
          </w:p>
        </w:tc>
        <w:tc>
          <w:tcPr>
            <w:tcW w:w="2571" w:type="dxa"/>
          </w:tcPr>
          <w:p w14:paraId="5EDD2910" w14:textId="77777777" w:rsidR="0098332C" w:rsidRDefault="002C2810">
            <w:pPr>
              <w:pStyle w:val="TableParagraph"/>
              <w:spacing w:line="210" w:lineRule="exact"/>
              <w:ind w:left="115"/>
              <w:rPr>
                <w:sz w:val="20"/>
              </w:rPr>
            </w:pPr>
            <w:r>
              <w:rPr>
                <w:sz w:val="20"/>
              </w:rPr>
              <w:t>4 by 1 May</w:t>
            </w:r>
          </w:p>
        </w:tc>
        <w:tc>
          <w:tcPr>
            <w:tcW w:w="2312" w:type="dxa"/>
          </w:tcPr>
          <w:p w14:paraId="657D3E20" w14:textId="77777777" w:rsidR="0098332C" w:rsidRDefault="002C2810">
            <w:pPr>
              <w:pStyle w:val="TableParagraph"/>
              <w:spacing w:line="210" w:lineRule="exact"/>
              <w:ind w:left="115"/>
              <w:rPr>
                <w:sz w:val="20"/>
              </w:rPr>
            </w:pPr>
            <w:r>
              <w:rPr>
                <w:sz w:val="20"/>
              </w:rPr>
              <w:t>5 by 1 May</w:t>
            </w:r>
          </w:p>
        </w:tc>
      </w:tr>
      <w:tr w:rsidR="0098332C" w14:paraId="59258C92" w14:textId="77777777">
        <w:trPr>
          <w:trHeight w:val="230"/>
        </w:trPr>
        <w:tc>
          <w:tcPr>
            <w:tcW w:w="2311" w:type="dxa"/>
          </w:tcPr>
          <w:p w14:paraId="7A4341D1" w14:textId="77777777" w:rsidR="0098332C" w:rsidRDefault="002C2810">
            <w:pPr>
              <w:pStyle w:val="TableParagraph"/>
              <w:spacing w:line="210" w:lineRule="exact"/>
              <w:ind w:left="115"/>
              <w:rPr>
                <w:sz w:val="20"/>
              </w:rPr>
            </w:pPr>
            <w:r>
              <w:rPr>
                <w:sz w:val="20"/>
              </w:rPr>
              <w:t>TAS</w:t>
            </w:r>
          </w:p>
        </w:tc>
        <w:tc>
          <w:tcPr>
            <w:tcW w:w="2050" w:type="dxa"/>
          </w:tcPr>
          <w:p w14:paraId="0140EFCE" w14:textId="77777777" w:rsidR="0098332C" w:rsidRDefault="002C2810">
            <w:pPr>
              <w:pStyle w:val="TableParagraph"/>
              <w:spacing w:line="210" w:lineRule="exact"/>
              <w:ind w:left="115"/>
              <w:rPr>
                <w:sz w:val="20"/>
              </w:rPr>
            </w:pPr>
            <w:r>
              <w:rPr>
                <w:sz w:val="20"/>
              </w:rPr>
              <w:t>Kindergarten</w:t>
            </w:r>
          </w:p>
        </w:tc>
        <w:tc>
          <w:tcPr>
            <w:tcW w:w="2571" w:type="dxa"/>
          </w:tcPr>
          <w:p w14:paraId="333C757F" w14:textId="77777777" w:rsidR="0098332C" w:rsidRDefault="002C2810">
            <w:pPr>
              <w:pStyle w:val="TableParagraph"/>
              <w:spacing w:line="210" w:lineRule="exact"/>
              <w:ind w:left="115"/>
              <w:rPr>
                <w:sz w:val="20"/>
              </w:rPr>
            </w:pPr>
            <w:r>
              <w:rPr>
                <w:sz w:val="20"/>
              </w:rPr>
              <w:t>4 by 1 January</w:t>
            </w:r>
          </w:p>
        </w:tc>
        <w:tc>
          <w:tcPr>
            <w:tcW w:w="2312" w:type="dxa"/>
          </w:tcPr>
          <w:p w14:paraId="317463CD" w14:textId="77777777" w:rsidR="0098332C" w:rsidRDefault="002C2810">
            <w:pPr>
              <w:pStyle w:val="TableParagraph"/>
              <w:spacing w:line="210" w:lineRule="exact"/>
              <w:ind w:left="115"/>
              <w:rPr>
                <w:sz w:val="20"/>
              </w:rPr>
            </w:pPr>
            <w:r>
              <w:rPr>
                <w:sz w:val="20"/>
              </w:rPr>
              <w:t>5 by 1 January</w:t>
            </w:r>
          </w:p>
        </w:tc>
      </w:tr>
      <w:tr w:rsidR="0098332C" w14:paraId="260D0A66" w14:textId="77777777">
        <w:trPr>
          <w:trHeight w:val="230"/>
        </w:trPr>
        <w:tc>
          <w:tcPr>
            <w:tcW w:w="2311" w:type="dxa"/>
          </w:tcPr>
          <w:p w14:paraId="108E9E1D" w14:textId="77777777" w:rsidR="0098332C" w:rsidRDefault="002C2810">
            <w:pPr>
              <w:pStyle w:val="TableParagraph"/>
              <w:spacing w:line="210" w:lineRule="exact"/>
              <w:ind w:left="115"/>
              <w:rPr>
                <w:sz w:val="20"/>
              </w:rPr>
            </w:pPr>
            <w:r>
              <w:rPr>
                <w:sz w:val="20"/>
              </w:rPr>
              <w:t>VIC</w:t>
            </w:r>
          </w:p>
        </w:tc>
        <w:tc>
          <w:tcPr>
            <w:tcW w:w="2050" w:type="dxa"/>
          </w:tcPr>
          <w:p w14:paraId="4A546AE4" w14:textId="77777777" w:rsidR="0098332C" w:rsidRDefault="002C2810">
            <w:pPr>
              <w:pStyle w:val="TableParagraph"/>
              <w:spacing w:line="210" w:lineRule="exact"/>
              <w:ind w:left="115"/>
              <w:rPr>
                <w:sz w:val="20"/>
              </w:rPr>
            </w:pPr>
            <w:r>
              <w:rPr>
                <w:sz w:val="20"/>
              </w:rPr>
              <w:t>Kindergarten</w:t>
            </w:r>
          </w:p>
        </w:tc>
        <w:tc>
          <w:tcPr>
            <w:tcW w:w="2571" w:type="dxa"/>
          </w:tcPr>
          <w:p w14:paraId="23959B0D" w14:textId="77777777" w:rsidR="0098332C" w:rsidRDefault="002C2810">
            <w:pPr>
              <w:pStyle w:val="TableParagraph"/>
              <w:spacing w:line="210" w:lineRule="exact"/>
              <w:ind w:left="115"/>
              <w:rPr>
                <w:sz w:val="20"/>
              </w:rPr>
            </w:pPr>
            <w:r>
              <w:rPr>
                <w:sz w:val="20"/>
              </w:rPr>
              <w:t>4 by 30 April</w:t>
            </w:r>
          </w:p>
        </w:tc>
        <w:tc>
          <w:tcPr>
            <w:tcW w:w="2312" w:type="dxa"/>
          </w:tcPr>
          <w:p w14:paraId="3D69FC9E" w14:textId="77777777" w:rsidR="0098332C" w:rsidRDefault="002C2810">
            <w:pPr>
              <w:pStyle w:val="TableParagraph"/>
              <w:spacing w:line="210" w:lineRule="exact"/>
              <w:ind w:left="115"/>
              <w:rPr>
                <w:sz w:val="20"/>
              </w:rPr>
            </w:pPr>
            <w:r>
              <w:rPr>
                <w:sz w:val="20"/>
              </w:rPr>
              <w:t>5 by 30 April</w:t>
            </w:r>
          </w:p>
        </w:tc>
      </w:tr>
      <w:tr w:rsidR="0098332C" w14:paraId="62EAB997" w14:textId="77777777">
        <w:trPr>
          <w:trHeight w:val="232"/>
        </w:trPr>
        <w:tc>
          <w:tcPr>
            <w:tcW w:w="2311" w:type="dxa"/>
          </w:tcPr>
          <w:p w14:paraId="5D54AC17" w14:textId="77777777" w:rsidR="0098332C" w:rsidRDefault="002C2810">
            <w:pPr>
              <w:pStyle w:val="TableParagraph"/>
              <w:spacing w:line="212" w:lineRule="exact"/>
              <w:ind w:left="115"/>
              <w:rPr>
                <w:sz w:val="20"/>
              </w:rPr>
            </w:pPr>
            <w:r>
              <w:rPr>
                <w:sz w:val="20"/>
              </w:rPr>
              <w:t>WA</w:t>
            </w:r>
          </w:p>
        </w:tc>
        <w:tc>
          <w:tcPr>
            <w:tcW w:w="2050" w:type="dxa"/>
          </w:tcPr>
          <w:p w14:paraId="145AE1AC" w14:textId="77777777" w:rsidR="0098332C" w:rsidRDefault="002C2810">
            <w:pPr>
              <w:pStyle w:val="TableParagraph"/>
              <w:spacing w:line="212" w:lineRule="exact"/>
              <w:ind w:left="115"/>
              <w:rPr>
                <w:sz w:val="20"/>
              </w:rPr>
            </w:pPr>
            <w:r>
              <w:rPr>
                <w:sz w:val="20"/>
              </w:rPr>
              <w:t>Kindergarten</w:t>
            </w:r>
          </w:p>
        </w:tc>
        <w:tc>
          <w:tcPr>
            <w:tcW w:w="2571" w:type="dxa"/>
          </w:tcPr>
          <w:p w14:paraId="7D904BDD" w14:textId="77777777" w:rsidR="0098332C" w:rsidRDefault="002C2810">
            <w:pPr>
              <w:pStyle w:val="TableParagraph"/>
              <w:spacing w:line="212" w:lineRule="exact"/>
              <w:ind w:left="115"/>
              <w:rPr>
                <w:sz w:val="20"/>
              </w:rPr>
            </w:pPr>
            <w:r>
              <w:rPr>
                <w:sz w:val="20"/>
              </w:rPr>
              <w:t>4 by 30 June</w:t>
            </w:r>
          </w:p>
        </w:tc>
        <w:tc>
          <w:tcPr>
            <w:tcW w:w="2312" w:type="dxa"/>
          </w:tcPr>
          <w:p w14:paraId="23BB48F6" w14:textId="77777777" w:rsidR="0098332C" w:rsidRDefault="002C2810">
            <w:pPr>
              <w:pStyle w:val="TableParagraph"/>
              <w:spacing w:line="212" w:lineRule="exact"/>
              <w:ind w:left="115"/>
              <w:rPr>
                <w:sz w:val="20"/>
              </w:rPr>
            </w:pPr>
            <w:r>
              <w:rPr>
                <w:sz w:val="20"/>
              </w:rPr>
              <w:t>5 by 30 June</w:t>
            </w:r>
          </w:p>
        </w:tc>
      </w:tr>
    </w:tbl>
    <w:p w14:paraId="61DEC6D8" w14:textId="77777777" w:rsidR="0098332C" w:rsidRDefault="002C2810">
      <w:pPr>
        <w:ind w:left="260"/>
        <w:rPr>
          <w:sz w:val="18"/>
        </w:rPr>
      </w:pPr>
      <w:r>
        <w:rPr>
          <w:sz w:val="18"/>
        </w:rPr>
        <w:t>Source: Productivity Commission, 2019</w:t>
      </w:r>
    </w:p>
    <w:p w14:paraId="3A7F4960" w14:textId="77777777" w:rsidR="0098332C" w:rsidRDefault="0098332C">
      <w:pPr>
        <w:pStyle w:val="BodyText"/>
        <w:spacing w:before="10"/>
        <w:rPr>
          <w:sz w:val="19"/>
        </w:rPr>
      </w:pPr>
    </w:p>
    <w:p w14:paraId="516734B2" w14:textId="77777777" w:rsidR="00D464BF" w:rsidRDefault="002C2810" w:rsidP="00D464BF">
      <w:pPr>
        <w:pStyle w:val="BodyText"/>
        <w:ind w:left="260" w:right="213"/>
        <w:jc w:val="both"/>
      </w:pPr>
      <w:r>
        <w:t xml:space="preserve">The current system of delivery of preschool education within and across different states and territories is complex and multifaceted, with services being provided in a mix of contexts, including kindergartens, stand-alone preschools, long day care settings, early learning centres, and preschool programs within the </w:t>
      </w:r>
      <w:r w:rsidR="00F20CB6">
        <w:t xml:space="preserve">government and </w:t>
      </w:r>
      <w:r>
        <w:t>independent school sector</w:t>
      </w:r>
      <w:r w:rsidR="00F20CB6">
        <w:t>s</w:t>
      </w:r>
      <w:r>
        <w:t>. Provision of services involves complex layers and connections between government, voluntary and church groups, public education systems, independent, Catholic and other religious schools, community organisations, free-market forces, small business owner-operators and major commercial childcare companies, plus of course families and children. Navigating this complexity can be challenging for all families, particularly those experiencing</w:t>
      </w:r>
      <w:r>
        <w:rPr>
          <w:spacing w:val="-22"/>
        </w:rPr>
        <w:t xml:space="preserve"> </w:t>
      </w:r>
      <w:r>
        <w:t>vulnerability.</w:t>
      </w:r>
    </w:p>
    <w:p w14:paraId="738257DD" w14:textId="77777777" w:rsidR="00D464BF" w:rsidRDefault="00D464BF" w:rsidP="00D464BF">
      <w:pPr>
        <w:pStyle w:val="BodyText"/>
        <w:ind w:left="260" w:right="213"/>
        <w:jc w:val="both"/>
      </w:pPr>
    </w:p>
    <w:p w14:paraId="07DF3143" w14:textId="77777777" w:rsidR="00D464BF" w:rsidRDefault="00D464BF">
      <w:r>
        <w:br w:type="page"/>
      </w:r>
    </w:p>
    <w:p w14:paraId="1F36520A" w14:textId="7E75CA4F" w:rsidR="0098332C" w:rsidRDefault="002C2810" w:rsidP="00D464BF">
      <w:pPr>
        <w:pStyle w:val="BodyText"/>
        <w:ind w:left="260" w:right="213"/>
        <w:jc w:val="both"/>
      </w:pPr>
      <w:r>
        <w:t>The wide variations in how and where preschool programs are de</w:t>
      </w:r>
      <w:r w:rsidR="00754591">
        <w:t>livered is highlighted in Table </w:t>
      </w:r>
      <w:r>
        <w:t>6 which shows the proportion of preschool enrolments by service type by state- territory.</w:t>
      </w:r>
    </w:p>
    <w:p w14:paraId="01F616E3" w14:textId="77777777" w:rsidR="0098332C" w:rsidRDefault="0098332C">
      <w:pPr>
        <w:pStyle w:val="BodyText"/>
        <w:spacing w:before="9"/>
        <w:rPr>
          <w:sz w:val="21"/>
        </w:rPr>
      </w:pPr>
    </w:p>
    <w:p w14:paraId="0E583E41" w14:textId="1B1BE5B5" w:rsidR="0098332C" w:rsidRDefault="002C2810" w:rsidP="00ED1871">
      <w:pPr>
        <w:ind w:left="260"/>
        <w:jc w:val="both"/>
        <w:rPr>
          <w:b/>
        </w:rPr>
      </w:pPr>
      <w:r>
        <w:rPr>
          <w:b/>
          <w:color w:val="001F5F"/>
          <w:sz w:val="20"/>
        </w:rPr>
        <w:t>Table 6: Proportion of preschool enrolments by service type by jurisdiction</w:t>
      </w:r>
      <w:r w:rsidR="009C297E">
        <w:rPr>
          <w:b/>
          <w:color w:val="001F5F"/>
          <w:sz w:val="20"/>
        </w:rPr>
        <w:t>, [2018</w:t>
      </w:r>
      <w:r w:rsidR="00C457AE">
        <w:rPr>
          <w:b/>
          <w:color w:val="001F5F"/>
          <w:sz w:val="20"/>
        </w:rPr>
        <w:t>]</w:t>
      </w:r>
    </w:p>
    <w:p w14:paraId="387A694F" w14:textId="1F820D79" w:rsidR="006D19F7" w:rsidRDefault="006D19F7">
      <w:pPr>
        <w:jc w:val="both"/>
        <w:rPr>
          <w:sz w:val="18"/>
        </w:rPr>
      </w:pPr>
    </w:p>
    <w:tbl>
      <w:tblPr>
        <w:tblW w:w="9244"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982"/>
        <w:gridCol w:w="987"/>
        <w:gridCol w:w="979"/>
        <w:gridCol w:w="982"/>
        <w:gridCol w:w="979"/>
        <w:gridCol w:w="979"/>
        <w:gridCol w:w="980"/>
        <w:gridCol w:w="979"/>
      </w:tblGrid>
      <w:tr w:rsidR="006D19F7" w14:paraId="170E4620" w14:textId="77777777" w:rsidTr="00217163">
        <w:trPr>
          <w:trHeight w:val="230"/>
        </w:trPr>
        <w:tc>
          <w:tcPr>
            <w:tcW w:w="1397" w:type="dxa"/>
          </w:tcPr>
          <w:p w14:paraId="4B26C188" w14:textId="77777777" w:rsidR="006D19F7" w:rsidRDefault="006D19F7" w:rsidP="00217163">
            <w:pPr>
              <w:pStyle w:val="TableParagraph"/>
              <w:spacing w:line="210" w:lineRule="exact"/>
              <w:rPr>
                <w:b/>
                <w:sz w:val="20"/>
              </w:rPr>
            </w:pPr>
            <w:r>
              <w:rPr>
                <w:b/>
                <w:color w:val="001F5F"/>
                <w:sz w:val="20"/>
              </w:rPr>
              <w:t>Service type</w:t>
            </w:r>
          </w:p>
        </w:tc>
        <w:tc>
          <w:tcPr>
            <w:tcW w:w="982" w:type="dxa"/>
          </w:tcPr>
          <w:p w14:paraId="28DB6356" w14:textId="77777777" w:rsidR="006D19F7" w:rsidRDefault="006D19F7" w:rsidP="00217163">
            <w:pPr>
              <w:pStyle w:val="TableParagraph"/>
              <w:spacing w:before="6"/>
              <w:ind w:left="94" w:right="86"/>
              <w:jc w:val="center"/>
              <w:rPr>
                <w:b/>
                <w:sz w:val="20"/>
              </w:rPr>
            </w:pPr>
            <w:r>
              <w:rPr>
                <w:b/>
                <w:sz w:val="20"/>
              </w:rPr>
              <w:t>NSW</w:t>
            </w:r>
          </w:p>
        </w:tc>
        <w:tc>
          <w:tcPr>
            <w:tcW w:w="987" w:type="dxa"/>
          </w:tcPr>
          <w:p w14:paraId="037EA76C" w14:textId="77777777" w:rsidR="006D19F7" w:rsidRDefault="006D19F7" w:rsidP="00217163">
            <w:pPr>
              <w:pStyle w:val="TableParagraph"/>
              <w:spacing w:before="6"/>
              <w:ind w:left="99" w:right="90"/>
              <w:jc w:val="center"/>
              <w:rPr>
                <w:b/>
                <w:sz w:val="20"/>
              </w:rPr>
            </w:pPr>
            <w:r>
              <w:rPr>
                <w:b/>
                <w:sz w:val="20"/>
              </w:rPr>
              <w:t>VIC</w:t>
            </w:r>
          </w:p>
        </w:tc>
        <w:tc>
          <w:tcPr>
            <w:tcW w:w="979" w:type="dxa"/>
          </w:tcPr>
          <w:p w14:paraId="2CE99129" w14:textId="77777777" w:rsidR="006D19F7" w:rsidRDefault="006D19F7" w:rsidP="00217163">
            <w:pPr>
              <w:pStyle w:val="TableParagraph"/>
              <w:spacing w:before="6"/>
              <w:ind w:left="96" w:right="84"/>
              <w:jc w:val="center"/>
              <w:rPr>
                <w:b/>
                <w:sz w:val="20"/>
              </w:rPr>
            </w:pPr>
            <w:r>
              <w:rPr>
                <w:b/>
                <w:sz w:val="20"/>
              </w:rPr>
              <w:t>QLD</w:t>
            </w:r>
          </w:p>
        </w:tc>
        <w:tc>
          <w:tcPr>
            <w:tcW w:w="982" w:type="dxa"/>
          </w:tcPr>
          <w:p w14:paraId="17728AD8" w14:textId="77777777" w:rsidR="006D19F7" w:rsidRDefault="006D19F7" w:rsidP="00217163">
            <w:pPr>
              <w:pStyle w:val="TableParagraph"/>
              <w:spacing w:before="6"/>
              <w:ind w:left="96" w:right="74"/>
              <w:jc w:val="center"/>
              <w:rPr>
                <w:b/>
                <w:sz w:val="20"/>
              </w:rPr>
            </w:pPr>
            <w:r>
              <w:rPr>
                <w:b/>
                <w:sz w:val="20"/>
              </w:rPr>
              <w:t>WA</w:t>
            </w:r>
          </w:p>
        </w:tc>
        <w:tc>
          <w:tcPr>
            <w:tcW w:w="979" w:type="dxa"/>
          </w:tcPr>
          <w:p w14:paraId="204535BF" w14:textId="77777777" w:rsidR="006D19F7" w:rsidRDefault="006D19F7" w:rsidP="00217163">
            <w:pPr>
              <w:pStyle w:val="TableParagraph"/>
              <w:spacing w:before="6"/>
              <w:ind w:left="96" w:right="78"/>
              <w:jc w:val="center"/>
              <w:rPr>
                <w:b/>
                <w:sz w:val="20"/>
              </w:rPr>
            </w:pPr>
            <w:r>
              <w:rPr>
                <w:b/>
                <w:sz w:val="20"/>
              </w:rPr>
              <w:t>SA</w:t>
            </w:r>
          </w:p>
        </w:tc>
        <w:tc>
          <w:tcPr>
            <w:tcW w:w="979" w:type="dxa"/>
          </w:tcPr>
          <w:p w14:paraId="1A2B997C" w14:textId="77777777" w:rsidR="006D19F7" w:rsidRDefault="006D19F7" w:rsidP="00217163">
            <w:pPr>
              <w:pStyle w:val="TableParagraph"/>
              <w:spacing w:before="6"/>
              <w:ind w:left="87" w:right="75"/>
              <w:jc w:val="center"/>
              <w:rPr>
                <w:b/>
                <w:sz w:val="20"/>
              </w:rPr>
            </w:pPr>
            <w:r>
              <w:rPr>
                <w:b/>
                <w:sz w:val="20"/>
              </w:rPr>
              <w:t>TAS</w:t>
            </w:r>
          </w:p>
        </w:tc>
        <w:tc>
          <w:tcPr>
            <w:tcW w:w="980" w:type="dxa"/>
          </w:tcPr>
          <w:p w14:paraId="15ABED43" w14:textId="77777777" w:rsidR="006D19F7" w:rsidRDefault="006D19F7" w:rsidP="00217163">
            <w:pPr>
              <w:pStyle w:val="TableParagraph"/>
              <w:spacing w:before="6"/>
              <w:ind w:left="94" w:right="86"/>
              <w:jc w:val="center"/>
              <w:rPr>
                <w:b/>
                <w:sz w:val="20"/>
              </w:rPr>
            </w:pPr>
            <w:r>
              <w:rPr>
                <w:b/>
                <w:sz w:val="20"/>
              </w:rPr>
              <w:t>ACT</w:t>
            </w:r>
          </w:p>
        </w:tc>
        <w:tc>
          <w:tcPr>
            <w:tcW w:w="979" w:type="dxa"/>
          </w:tcPr>
          <w:p w14:paraId="7FB9D431" w14:textId="77777777" w:rsidR="006D19F7" w:rsidRDefault="006D19F7" w:rsidP="00217163">
            <w:pPr>
              <w:pStyle w:val="TableParagraph"/>
              <w:spacing w:before="6"/>
              <w:ind w:left="112" w:right="98"/>
              <w:jc w:val="center"/>
              <w:rPr>
                <w:b/>
                <w:sz w:val="20"/>
              </w:rPr>
            </w:pPr>
            <w:r>
              <w:rPr>
                <w:b/>
                <w:sz w:val="20"/>
              </w:rPr>
              <w:t>NT</w:t>
            </w:r>
          </w:p>
        </w:tc>
      </w:tr>
      <w:tr w:rsidR="006D19F7" w14:paraId="3991C995" w14:textId="77777777" w:rsidTr="00217163">
        <w:trPr>
          <w:trHeight w:val="458"/>
        </w:trPr>
        <w:tc>
          <w:tcPr>
            <w:tcW w:w="1397" w:type="dxa"/>
          </w:tcPr>
          <w:p w14:paraId="19A509E0" w14:textId="77777777" w:rsidR="006D19F7" w:rsidRDefault="006D19F7" w:rsidP="00217163">
            <w:pPr>
              <w:pStyle w:val="TableParagraph"/>
              <w:spacing w:before="2" w:line="228" w:lineRule="exact"/>
              <w:rPr>
                <w:b/>
                <w:sz w:val="20"/>
              </w:rPr>
            </w:pPr>
            <w:r>
              <w:rPr>
                <w:b/>
                <w:color w:val="001F5F"/>
                <w:w w:val="95"/>
                <w:sz w:val="20"/>
              </w:rPr>
              <w:t xml:space="preserve">Government </w:t>
            </w:r>
            <w:r>
              <w:rPr>
                <w:b/>
                <w:color w:val="001F5F"/>
                <w:sz w:val="20"/>
              </w:rPr>
              <w:t>preschool</w:t>
            </w:r>
          </w:p>
        </w:tc>
        <w:tc>
          <w:tcPr>
            <w:tcW w:w="982" w:type="dxa"/>
            <w:vAlign w:val="bottom"/>
          </w:tcPr>
          <w:p w14:paraId="6B789E74" w14:textId="77777777" w:rsidR="006D19F7" w:rsidRDefault="006D19F7" w:rsidP="00ED1871">
            <w:pPr>
              <w:jc w:val="center"/>
              <w:rPr>
                <w:rFonts w:ascii="Calibri" w:hAnsi="Calibri" w:cs="Calibri"/>
                <w:color w:val="000000"/>
              </w:rPr>
            </w:pPr>
            <w:r>
              <w:rPr>
                <w:rFonts w:ascii="Calibri" w:hAnsi="Calibri" w:cs="Calibri"/>
                <w:color w:val="000000"/>
              </w:rPr>
              <w:t>6%</w:t>
            </w:r>
          </w:p>
        </w:tc>
        <w:tc>
          <w:tcPr>
            <w:tcW w:w="987" w:type="dxa"/>
            <w:vAlign w:val="bottom"/>
          </w:tcPr>
          <w:p w14:paraId="0D63BE4E" w14:textId="77777777" w:rsidR="006D19F7" w:rsidRDefault="006D19F7" w:rsidP="00ED1871">
            <w:pPr>
              <w:jc w:val="center"/>
              <w:rPr>
                <w:rFonts w:ascii="Calibri" w:hAnsi="Calibri" w:cs="Calibri"/>
                <w:color w:val="000000"/>
              </w:rPr>
            </w:pPr>
            <w:r>
              <w:rPr>
                <w:rFonts w:ascii="Calibri" w:hAnsi="Calibri" w:cs="Calibri"/>
                <w:color w:val="000000"/>
              </w:rPr>
              <w:t>12%</w:t>
            </w:r>
          </w:p>
        </w:tc>
        <w:tc>
          <w:tcPr>
            <w:tcW w:w="979" w:type="dxa"/>
            <w:vAlign w:val="bottom"/>
          </w:tcPr>
          <w:p w14:paraId="46887B0C" w14:textId="77777777" w:rsidR="006D19F7" w:rsidRDefault="006D19F7" w:rsidP="00ED1871">
            <w:pPr>
              <w:jc w:val="center"/>
              <w:rPr>
                <w:rFonts w:ascii="Calibri" w:hAnsi="Calibri" w:cs="Calibri"/>
                <w:color w:val="000000"/>
              </w:rPr>
            </w:pPr>
            <w:r>
              <w:rPr>
                <w:rFonts w:ascii="Calibri" w:hAnsi="Calibri" w:cs="Calibri"/>
                <w:color w:val="000000"/>
              </w:rPr>
              <w:t>3%</w:t>
            </w:r>
          </w:p>
        </w:tc>
        <w:tc>
          <w:tcPr>
            <w:tcW w:w="982" w:type="dxa"/>
            <w:vAlign w:val="bottom"/>
          </w:tcPr>
          <w:p w14:paraId="7CE5447C" w14:textId="77777777" w:rsidR="006D19F7" w:rsidRDefault="006D19F7" w:rsidP="00ED1871">
            <w:pPr>
              <w:jc w:val="center"/>
              <w:rPr>
                <w:rFonts w:ascii="Calibri" w:hAnsi="Calibri" w:cs="Calibri"/>
                <w:color w:val="000000"/>
              </w:rPr>
            </w:pPr>
            <w:r>
              <w:rPr>
                <w:rFonts w:ascii="Calibri" w:hAnsi="Calibri" w:cs="Calibri"/>
                <w:color w:val="000000"/>
              </w:rPr>
              <w:t>60%</w:t>
            </w:r>
          </w:p>
        </w:tc>
        <w:tc>
          <w:tcPr>
            <w:tcW w:w="979" w:type="dxa"/>
            <w:vAlign w:val="bottom"/>
          </w:tcPr>
          <w:p w14:paraId="0281540B" w14:textId="77777777" w:rsidR="006D19F7" w:rsidRDefault="006D19F7" w:rsidP="00ED1871">
            <w:pPr>
              <w:jc w:val="center"/>
              <w:rPr>
                <w:rFonts w:ascii="Calibri" w:hAnsi="Calibri" w:cs="Calibri"/>
                <w:color w:val="000000"/>
              </w:rPr>
            </w:pPr>
            <w:r>
              <w:rPr>
                <w:rFonts w:ascii="Calibri" w:hAnsi="Calibri" w:cs="Calibri"/>
                <w:color w:val="000000"/>
              </w:rPr>
              <w:t>55%</w:t>
            </w:r>
          </w:p>
        </w:tc>
        <w:tc>
          <w:tcPr>
            <w:tcW w:w="979" w:type="dxa"/>
            <w:vAlign w:val="bottom"/>
          </w:tcPr>
          <w:p w14:paraId="3681DB60" w14:textId="77777777" w:rsidR="006D19F7" w:rsidRDefault="006D19F7" w:rsidP="00ED1871">
            <w:pPr>
              <w:jc w:val="center"/>
              <w:rPr>
                <w:rFonts w:ascii="Calibri" w:hAnsi="Calibri" w:cs="Calibri"/>
                <w:color w:val="000000"/>
              </w:rPr>
            </w:pPr>
            <w:r>
              <w:rPr>
                <w:rFonts w:ascii="Calibri" w:hAnsi="Calibri" w:cs="Calibri"/>
                <w:color w:val="000000"/>
              </w:rPr>
              <w:t>53%</w:t>
            </w:r>
          </w:p>
        </w:tc>
        <w:tc>
          <w:tcPr>
            <w:tcW w:w="980" w:type="dxa"/>
            <w:vAlign w:val="bottom"/>
          </w:tcPr>
          <w:p w14:paraId="2EC9C041" w14:textId="77777777" w:rsidR="006D19F7" w:rsidRDefault="006D19F7" w:rsidP="00ED1871">
            <w:pPr>
              <w:jc w:val="center"/>
              <w:rPr>
                <w:rFonts w:ascii="Calibri" w:hAnsi="Calibri" w:cs="Calibri"/>
                <w:color w:val="000000"/>
              </w:rPr>
            </w:pPr>
            <w:r>
              <w:rPr>
                <w:rFonts w:ascii="Calibri" w:hAnsi="Calibri" w:cs="Calibri"/>
                <w:color w:val="000000"/>
              </w:rPr>
              <w:t>50%</w:t>
            </w:r>
          </w:p>
        </w:tc>
        <w:tc>
          <w:tcPr>
            <w:tcW w:w="979" w:type="dxa"/>
            <w:vAlign w:val="bottom"/>
          </w:tcPr>
          <w:p w14:paraId="0CE147F2" w14:textId="77777777" w:rsidR="006D19F7" w:rsidRDefault="006D19F7" w:rsidP="00ED1871">
            <w:pPr>
              <w:jc w:val="center"/>
              <w:rPr>
                <w:rFonts w:ascii="Calibri" w:hAnsi="Calibri" w:cs="Calibri"/>
                <w:color w:val="000000"/>
              </w:rPr>
            </w:pPr>
            <w:r>
              <w:rPr>
                <w:rFonts w:ascii="Calibri" w:hAnsi="Calibri" w:cs="Calibri"/>
                <w:color w:val="000000"/>
              </w:rPr>
              <w:t>69%</w:t>
            </w:r>
          </w:p>
        </w:tc>
      </w:tr>
      <w:tr w:rsidR="006D19F7" w14:paraId="37F8956D" w14:textId="77777777" w:rsidTr="00217163">
        <w:trPr>
          <w:trHeight w:val="690"/>
        </w:trPr>
        <w:tc>
          <w:tcPr>
            <w:tcW w:w="1397" w:type="dxa"/>
          </w:tcPr>
          <w:p w14:paraId="28EF3B96" w14:textId="77777777" w:rsidR="006D19F7" w:rsidRDefault="006D19F7" w:rsidP="00217163">
            <w:pPr>
              <w:pStyle w:val="TableParagraph"/>
              <w:spacing w:line="230" w:lineRule="exact"/>
              <w:rPr>
                <w:b/>
                <w:sz w:val="20"/>
              </w:rPr>
            </w:pPr>
            <w:r>
              <w:rPr>
                <w:b/>
                <w:color w:val="001F5F"/>
                <w:sz w:val="20"/>
              </w:rPr>
              <w:t xml:space="preserve">Non- </w:t>
            </w:r>
            <w:r>
              <w:rPr>
                <w:b/>
                <w:color w:val="001F5F"/>
                <w:w w:val="95"/>
                <w:sz w:val="20"/>
              </w:rPr>
              <w:t xml:space="preserve">government </w:t>
            </w:r>
            <w:r>
              <w:rPr>
                <w:b/>
                <w:color w:val="001F5F"/>
                <w:sz w:val="20"/>
              </w:rPr>
              <w:t>preschool</w:t>
            </w:r>
          </w:p>
        </w:tc>
        <w:tc>
          <w:tcPr>
            <w:tcW w:w="982" w:type="dxa"/>
            <w:vAlign w:val="bottom"/>
          </w:tcPr>
          <w:p w14:paraId="7CCDB6E4" w14:textId="77777777" w:rsidR="006D19F7" w:rsidRDefault="006D19F7" w:rsidP="00ED1871">
            <w:pPr>
              <w:jc w:val="center"/>
              <w:rPr>
                <w:rFonts w:ascii="Calibri" w:hAnsi="Calibri" w:cs="Calibri"/>
                <w:color w:val="000000"/>
              </w:rPr>
            </w:pPr>
            <w:r>
              <w:rPr>
                <w:rFonts w:ascii="Calibri" w:hAnsi="Calibri" w:cs="Calibri"/>
                <w:color w:val="000000"/>
              </w:rPr>
              <w:t>27%</w:t>
            </w:r>
          </w:p>
        </w:tc>
        <w:tc>
          <w:tcPr>
            <w:tcW w:w="987" w:type="dxa"/>
            <w:vAlign w:val="bottom"/>
          </w:tcPr>
          <w:p w14:paraId="7AEE3B04" w14:textId="77777777" w:rsidR="006D19F7" w:rsidRDefault="006D19F7" w:rsidP="00ED1871">
            <w:pPr>
              <w:jc w:val="center"/>
              <w:rPr>
                <w:rFonts w:ascii="Calibri" w:hAnsi="Calibri" w:cs="Calibri"/>
                <w:color w:val="000000"/>
              </w:rPr>
            </w:pPr>
            <w:r>
              <w:rPr>
                <w:rFonts w:ascii="Calibri" w:hAnsi="Calibri" w:cs="Calibri"/>
                <w:color w:val="000000"/>
              </w:rPr>
              <w:t>37%</w:t>
            </w:r>
          </w:p>
        </w:tc>
        <w:tc>
          <w:tcPr>
            <w:tcW w:w="979" w:type="dxa"/>
            <w:vAlign w:val="bottom"/>
          </w:tcPr>
          <w:p w14:paraId="205B01C4" w14:textId="77777777" w:rsidR="006D19F7" w:rsidRDefault="006D19F7" w:rsidP="00ED1871">
            <w:pPr>
              <w:jc w:val="center"/>
              <w:rPr>
                <w:rFonts w:ascii="Calibri" w:hAnsi="Calibri" w:cs="Calibri"/>
                <w:color w:val="000000"/>
              </w:rPr>
            </w:pPr>
            <w:r>
              <w:rPr>
                <w:rFonts w:ascii="Calibri" w:hAnsi="Calibri" w:cs="Calibri"/>
                <w:color w:val="000000"/>
              </w:rPr>
              <w:t>28%</w:t>
            </w:r>
          </w:p>
        </w:tc>
        <w:tc>
          <w:tcPr>
            <w:tcW w:w="982" w:type="dxa"/>
            <w:vAlign w:val="bottom"/>
          </w:tcPr>
          <w:p w14:paraId="5E5F72AD" w14:textId="77777777" w:rsidR="006D19F7" w:rsidRDefault="006D19F7" w:rsidP="00ED1871">
            <w:pPr>
              <w:jc w:val="center"/>
              <w:rPr>
                <w:rFonts w:ascii="Calibri" w:hAnsi="Calibri" w:cs="Calibri"/>
                <w:color w:val="000000"/>
              </w:rPr>
            </w:pPr>
            <w:r>
              <w:rPr>
                <w:rFonts w:ascii="Calibri" w:hAnsi="Calibri" w:cs="Calibri"/>
                <w:color w:val="000000"/>
              </w:rPr>
              <w:t>21%</w:t>
            </w:r>
          </w:p>
        </w:tc>
        <w:tc>
          <w:tcPr>
            <w:tcW w:w="979" w:type="dxa"/>
            <w:vAlign w:val="bottom"/>
          </w:tcPr>
          <w:p w14:paraId="0EBF32B7" w14:textId="77777777" w:rsidR="006D19F7" w:rsidRDefault="006D19F7" w:rsidP="00ED1871">
            <w:pPr>
              <w:jc w:val="center"/>
              <w:rPr>
                <w:rFonts w:ascii="Calibri" w:hAnsi="Calibri" w:cs="Calibri"/>
                <w:color w:val="000000"/>
              </w:rPr>
            </w:pPr>
            <w:r>
              <w:rPr>
                <w:rFonts w:ascii="Calibri" w:hAnsi="Calibri" w:cs="Calibri"/>
                <w:color w:val="000000"/>
              </w:rPr>
              <w:t>4%</w:t>
            </w:r>
          </w:p>
        </w:tc>
        <w:tc>
          <w:tcPr>
            <w:tcW w:w="979" w:type="dxa"/>
            <w:vAlign w:val="bottom"/>
          </w:tcPr>
          <w:p w14:paraId="58093E1E" w14:textId="77777777" w:rsidR="006D19F7" w:rsidRDefault="006D19F7" w:rsidP="00ED1871">
            <w:pPr>
              <w:jc w:val="center"/>
              <w:rPr>
                <w:rFonts w:ascii="Calibri" w:hAnsi="Calibri" w:cs="Calibri"/>
                <w:color w:val="000000"/>
              </w:rPr>
            </w:pPr>
            <w:r>
              <w:rPr>
                <w:rFonts w:ascii="Calibri" w:hAnsi="Calibri" w:cs="Calibri"/>
                <w:color w:val="000000"/>
              </w:rPr>
              <w:t>16%</w:t>
            </w:r>
          </w:p>
        </w:tc>
        <w:tc>
          <w:tcPr>
            <w:tcW w:w="980" w:type="dxa"/>
            <w:vAlign w:val="bottom"/>
          </w:tcPr>
          <w:p w14:paraId="75A0E21B" w14:textId="77777777" w:rsidR="006D19F7" w:rsidRDefault="006D19F7" w:rsidP="00ED1871">
            <w:pPr>
              <w:jc w:val="center"/>
              <w:rPr>
                <w:rFonts w:ascii="Calibri" w:hAnsi="Calibri" w:cs="Calibri"/>
                <w:color w:val="000000"/>
              </w:rPr>
            </w:pPr>
            <w:r>
              <w:rPr>
                <w:rFonts w:ascii="Calibri" w:hAnsi="Calibri" w:cs="Calibri"/>
                <w:color w:val="000000"/>
              </w:rPr>
              <w:t>2%</w:t>
            </w:r>
          </w:p>
        </w:tc>
        <w:tc>
          <w:tcPr>
            <w:tcW w:w="979" w:type="dxa"/>
            <w:vAlign w:val="bottom"/>
          </w:tcPr>
          <w:p w14:paraId="380F2483" w14:textId="77777777" w:rsidR="006D19F7" w:rsidRDefault="006D19F7" w:rsidP="00ED1871">
            <w:pPr>
              <w:jc w:val="center"/>
              <w:rPr>
                <w:rFonts w:ascii="Calibri" w:hAnsi="Calibri" w:cs="Calibri"/>
                <w:color w:val="000000"/>
              </w:rPr>
            </w:pPr>
            <w:r>
              <w:rPr>
                <w:rFonts w:ascii="Calibri" w:hAnsi="Calibri" w:cs="Calibri"/>
                <w:color w:val="000000"/>
              </w:rPr>
              <w:t>3%</w:t>
            </w:r>
          </w:p>
        </w:tc>
      </w:tr>
      <w:tr w:rsidR="006D19F7" w14:paraId="4D1A3951" w14:textId="77777777" w:rsidTr="00217163">
        <w:trPr>
          <w:trHeight w:val="460"/>
        </w:trPr>
        <w:tc>
          <w:tcPr>
            <w:tcW w:w="1397" w:type="dxa"/>
          </w:tcPr>
          <w:p w14:paraId="56893649" w14:textId="77777777" w:rsidR="006D19F7" w:rsidRDefault="006D19F7" w:rsidP="00217163">
            <w:pPr>
              <w:pStyle w:val="TableParagraph"/>
              <w:spacing w:line="230" w:lineRule="exact"/>
              <w:ind w:right="371"/>
              <w:rPr>
                <w:b/>
                <w:sz w:val="20"/>
              </w:rPr>
            </w:pPr>
            <w:r>
              <w:rPr>
                <w:b/>
                <w:color w:val="001F5F"/>
                <w:sz w:val="20"/>
              </w:rPr>
              <w:t>Centre Based Day Care</w:t>
            </w:r>
          </w:p>
        </w:tc>
        <w:tc>
          <w:tcPr>
            <w:tcW w:w="982" w:type="dxa"/>
            <w:vAlign w:val="bottom"/>
          </w:tcPr>
          <w:p w14:paraId="68F4777E" w14:textId="77777777" w:rsidR="006D19F7" w:rsidRDefault="006D19F7" w:rsidP="00ED1871">
            <w:pPr>
              <w:jc w:val="center"/>
              <w:rPr>
                <w:rFonts w:ascii="Calibri" w:hAnsi="Calibri" w:cs="Calibri"/>
                <w:color w:val="000000"/>
              </w:rPr>
            </w:pPr>
            <w:r>
              <w:rPr>
                <w:rFonts w:ascii="Calibri" w:hAnsi="Calibri" w:cs="Calibri"/>
                <w:color w:val="000000"/>
              </w:rPr>
              <w:t>67%</w:t>
            </w:r>
          </w:p>
        </w:tc>
        <w:tc>
          <w:tcPr>
            <w:tcW w:w="987" w:type="dxa"/>
            <w:vAlign w:val="bottom"/>
          </w:tcPr>
          <w:p w14:paraId="059908F9" w14:textId="77777777" w:rsidR="006D19F7" w:rsidRDefault="006D19F7" w:rsidP="00ED1871">
            <w:pPr>
              <w:jc w:val="center"/>
              <w:rPr>
                <w:rFonts w:ascii="Calibri" w:hAnsi="Calibri" w:cs="Calibri"/>
                <w:color w:val="000000"/>
              </w:rPr>
            </w:pPr>
            <w:r>
              <w:rPr>
                <w:rFonts w:ascii="Calibri" w:hAnsi="Calibri" w:cs="Calibri"/>
                <w:color w:val="000000"/>
              </w:rPr>
              <w:t>51%</w:t>
            </w:r>
          </w:p>
        </w:tc>
        <w:tc>
          <w:tcPr>
            <w:tcW w:w="979" w:type="dxa"/>
            <w:vAlign w:val="bottom"/>
          </w:tcPr>
          <w:p w14:paraId="5AF9F705" w14:textId="77777777" w:rsidR="006D19F7" w:rsidRDefault="006D19F7" w:rsidP="00ED1871">
            <w:pPr>
              <w:jc w:val="center"/>
              <w:rPr>
                <w:rFonts w:ascii="Calibri" w:hAnsi="Calibri" w:cs="Calibri"/>
                <w:color w:val="000000"/>
              </w:rPr>
            </w:pPr>
            <w:r>
              <w:rPr>
                <w:rFonts w:ascii="Calibri" w:hAnsi="Calibri" w:cs="Calibri"/>
                <w:color w:val="000000"/>
              </w:rPr>
              <w:t>69%</w:t>
            </w:r>
          </w:p>
        </w:tc>
        <w:tc>
          <w:tcPr>
            <w:tcW w:w="982" w:type="dxa"/>
            <w:vAlign w:val="bottom"/>
          </w:tcPr>
          <w:p w14:paraId="42866E5B" w14:textId="77777777" w:rsidR="006D19F7" w:rsidRDefault="006D19F7" w:rsidP="00ED1871">
            <w:pPr>
              <w:jc w:val="center"/>
              <w:rPr>
                <w:rFonts w:ascii="Calibri" w:hAnsi="Calibri" w:cs="Calibri"/>
                <w:color w:val="000000"/>
              </w:rPr>
            </w:pPr>
            <w:r>
              <w:rPr>
                <w:rFonts w:ascii="Calibri" w:hAnsi="Calibri" w:cs="Calibri"/>
                <w:color w:val="000000"/>
              </w:rPr>
              <w:t>19%</w:t>
            </w:r>
          </w:p>
        </w:tc>
        <w:tc>
          <w:tcPr>
            <w:tcW w:w="979" w:type="dxa"/>
            <w:vAlign w:val="bottom"/>
          </w:tcPr>
          <w:p w14:paraId="3A447658" w14:textId="77777777" w:rsidR="006D19F7" w:rsidRDefault="006D19F7" w:rsidP="00ED1871">
            <w:pPr>
              <w:jc w:val="center"/>
              <w:rPr>
                <w:rFonts w:ascii="Calibri" w:hAnsi="Calibri" w:cs="Calibri"/>
                <w:color w:val="000000"/>
              </w:rPr>
            </w:pPr>
            <w:r>
              <w:rPr>
                <w:rFonts w:ascii="Calibri" w:hAnsi="Calibri" w:cs="Calibri"/>
                <w:color w:val="000000"/>
              </w:rPr>
              <w:t>41%</w:t>
            </w:r>
          </w:p>
        </w:tc>
        <w:tc>
          <w:tcPr>
            <w:tcW w:w="979" w:type="dxa"/>
            <w:vAlign w:val="bottom"/>
          </w:tcPr>
          <w:p w14:paraId="6F7CED46" w14:textId="77777777" w:rsidR="006D19F7" w:rsidRDefault="006D19F7" w:rsidP="00ED1871">
            <w:pPr>
              <w:jc w:val="center"/>
              <w:rPr>
                <w:rFonts w:ascii="Calibri" w:hAnsi="Calibri" w:cs="Calibri"/>
                <w:color w:val="000000"/>
              </w:rPr>
            </w:pPr>
            <w:r>
              <w:rPr>
                <w:rFonts w:ascii="Calibri" w:hAnsi="Calibri" w:cs="Calibri"/>
                <w:color w:val="000000"/>
              </w:rPr>
              <w:t>32%</w:t>
            </w:r>
          </w:p>
        </w:tc>
        <w:tc>
          <w:tcPr>
            <w:tcW w:w="980" w:type="dxa"/>
            <w:vAlign w:val="bottom"/>
          </w:tcPr>
          <w:p w14:paraId="26A7986F" w14:textId="77777777" w:rsidR="006D19F7" w:rsidRDefault="006D19F7" w:rsidP="00ED1871">
            <w:pPr>
              <w:jc w:val="center"/>
              <w:rPr>
                <w:rFonts w:ascii="Calibri" w:hAnsi="Calibri" w:cs="Calibri"/>
                <w:color w:val="000000"/>
              </w:rPr>
            </w:pPr>
            <w:r>
              <w:rPr>
                <w:rFonts w:ascii="Calibri" w:hAnsi="Calibri" w:cs="Calibri"/>
                <w:color w:val="000000"/>
              </w:rPr>
              <w:t>48%</w:t>
            </w:r>
          </w:p>
        </w:tc>
        <w:tc>
          <w:tcPr>
            <w:tcW w:w="979" w:type="dxa"/>
            <w:vAlign w:val="bottom"/>
          </w:tcPr>
          <w:p w14:paraId="068F9380" w14:textId="77777777" w:rsidR="006D19F7" w:rsidRDefault="006D19F7" w:rsidP="00ED1871">
            <w:pPr>
              <w:jc w:val="center"/>
              <w:rPr>
                <w:rFonts w:ascii="Calibri" w:hAnsi="Calibri" w:cs="Calibri"/>
                <w:color w:val="000000"/>
              </w:rPr>
            </w:pPr>
            <w:r>
              <w:rPr>
                <w:rFonts w:ascii="Calibri" w:hAnsi="Calibri" w:cs="Calibri"/>
                <w:color w:val="000000"/>
              </w:rPr>
              <w:t>28%</w:t>
            </w:r>
          </w:p>
        </w:tc>
      </w:tr>
    </w:tbl>
    <w:p w14:paraId="7B0E4AE0" w14:textId="7DCD8D92" w:rsidR="00E52617" w:rsidRDefault="006D19F7" w:rsidP="00D464BF">
      <w:pPr>
        <w:ind w:left="260"/>
        <w:jc w:val="both"/>
        <w:rPr>
          <w:sz w:val="18"/>
        </w:rPr>
      </w:pPr>
      <w:r w:rsidRPr="006D19F7">
        <w:rPr>
          <w:sz w:val="18"/>
          <w:szCs w:val="18"/>
        </w:rPr>
        <w:t>Source</w:t>
      </w:r>
      <w:r>
        <w:rPr>
          <w:sz w:val="18"/>
        </w:rPr>
        <w:t>: ABS Preschool Education, Australia, 2018</w:t>
      </w:r>
    </w:p>
    <w:p w14:paraId="51BD23C2" w14:textId="1B8435F8" w:rsidR="00D464BF" w:rsidRDefault="00D464BF">
      <w:pPr>
        <w:rPr>
          <w:sz w:val="18"/>
        </w:rPr>
      </w:pPr>
      <w:r>
        <w:rPr>
          <w:sz w:val="18"/>
        </w:rPr>
        <w:br w:type="page"/>
      </w:r>
    </w:p>
    <w:p w14:paraId="3A1727C9" w14:textId="77777777" w:rsidR="00D464BF" w:rsidRPr="00D464BF" w:rsidRDefault="00D464BF" w:rsidP="00D464BF">
      <w:pPr>
        <w:ind w:left="260"/>
        <w:jc w:val="both"/>
        <w:rPr>
          <w:sz w:val="18"/>
        </w:rPr>
      </w:pPr>
    </w:p>
    <w:p w14:paraId="2B6326CC" w14:textId="77777777" w:rsidR="00D464BF" w:rsidRDefault="00E52617" w:rsidP="00D464BF">
      <w:pPr>
        <w:pStyle w:val="Heading1"/>
        <w:ind w:left="220"/>
        <w:rPr>
          <w:color w:val="001F5F"/>
        </w:rPr>
      </w:pPr>
      <w:bookmarkStart w:id="44" w:name="_Toc75168404"/>
      <w:r>
        <w:rPr>
          <w:color w:val="001F5F"/>
        </w:rPr>
        <w:t>Part 3: Preschool in the States and Territories</w:t>
      </w:r>
      <w:bookmarkStart w:id="45" w:name="_Toc27585810"/>
      <w:bookmarkStart w:id="46" w:name="_Toc27588225"/>
      <w:bookmarkEnd w:id="44"/>
    </w:p>
    <w:p w14:paraId="6C0A5228" w14:textId="77777777" w:rsidR="00D464BF" w:rsidRDefault="00D464BF" w:rsidP="00D464BF">
      <w:pPr>
        <w:pStyle w:val="Heading1"/>
        <w:ind w:left="220"/>
        <w:rPr>
          <w:color w:val="001F5F"/>
        </w:rPr>
      </w:pPr>
    </w:p>
    <w:p w14:paraId="305B1FC9" w14:textId="5EAB8F5A" w:rsidR="00E52617" w:rsidRDefault="00E52617" w:rsidP="00D464BF">
      <w:pPr>
        <w:pStyle w:val="Heading2"/>
        <w:ind w:left="220"/>
      </w:pPr>
      <w:bookmarkStart w:id="47" w:name="_Toc75168405"/>
      <w:r>
        <w:t>Overview</w:t>
      </w:r>
      <w:bookmarkEnd w:id="45"/>
      <w:bookmarkEnd w:id="46"/>
      <w:bookmarkEnd w:id="47"/>
    </w:p>
    <w:p w14:paraId="32DF4021" w14:textId="77777777" w:rsidR="00E52617" w:rsidRDefault="00E52617" w:rsidP="00E52617">
      <w:pPr>
        <w:pStyle w:val="BodyText"/>
        <w:spacing w:before="3"/>
        <w:ind w:left="220" w:right="214"/>
        <w:jc w:val="both"/>
      </w:pPr>
      <w:r>
        <w:t>This section sets out key programs being implemented by state and territory governments which have a direct or indirect focus on supporting preschool enrolment and attendance over time. While there is often overlap from both a policy and service delivery perspective, programs are broadly categorised as follows:</w:t>
      </w:r>
    </w:p>
    <w:p w14:paraId="39AC1139" w14:textId="46F758A4" w:rsidR="00E52617" w:rsidRDefault="00E52617" w:rsidP="00E52617">
      <w:pPr>
        <w:pStyle w:val="ListParagraph"/>
        <w:numPr>
          <w:ilvl w:val="0"/>
          <w:numId w:val="10"/>
        </w:numPr>
        <w:tabs>
          <w:tab w:val="left" w:pos="941"/>
        </w:tabs>
        <w:ind w:right="216" w:hanging="358"/>
      </w:pPr>
      <w:r>
        <w:t>Programs or initiatives specifically designed to increase Preschool program participation (enrol</w:t>
      </w:r>
      <w:r w:rsidR="0045389A">
        <w:t>ment and/or attendance) in the y</w:t>
      </w:r>
      <w:r>
        <w:t>ear before full-time schooling (YBFS);</w:t>
      </w:r>
      <w:r>
        <w:rPr>
          <w:spacing w:val="-5"/>
        </w:rPr>
        <w:t xml:space="preserve"> </w:t>
      </w:r>
      <w:r>
        <w:t>and</w:t>
      </w:r>
    </w:p>
    <w:p w14:paraId="191D8C61" w14:textId="77777777" w:rsidR="00E52617" w:rsidRDefault="00E52617" w:rsidP="00E52617">
      <w:pPr>
        <w:pStyle w:val="ListParagraph"/>
        <w:numPr>
          <w:ilvl w:val="0"/>
          <w:numId w:val="10"/>
        </w:numPr>
        <w:tabs>
          <w:tab w:val="left" w:pos="941"/>
        </w:tabs>
        <w:spacing w:before="1"/>
        <w:ind w:left="940" w:hanging="315"/>
        <w:rPr>
          <w:sz w:val="20"/>
        </w:rPr>
      </w:pPr>
      <w:r>
        <w:t>A range of Early Childhood (birth to five or six) programs which may encourage participation in preschool in the</w:t>
      </w:r>
      <w:r>
        <w:rPr>
          <w:spacing w:val="-15"/>
        </w:rPr>
        <w:t xml:space="preserve"> </w:t>
      </w:r>
      <w:r>
        <w:t>YBFS.</w:t>
      </w:r>
    </w:p>
    <w:p w14:paraId="1D9F2275" w14:textId="77777777" w:rsidR="00E52617" w:rsidRDefault="00E52617" w:rsidP="00E52617">
      <w:pPr>
        <w:pStyle w:val="BodyText"/>
        <w:spacing w:before="6"/>
        <w:rPr>
          <w:sz w:val="20"/>
        </w:rPr>
      </w:pPr>
    </w:p>
    <w:p w14:paraId="7CF9A556" w14:textId="3171FA72" w:rsidR="00E52617" w:rsidRDefault="00E52617" w:rsidP="00E52617">
      <w:pPr>
        <w:pStyle w:val="Heading3"/>
        <w:spacing w:before="1"/>
        <w:ind w:left="220"/>
      </w:pPr>
      <w:bookmarkStart w:id="48" w:name="_Toc27585811"/>
      <w:bookmarkStart w:id="49" w:name="_Toc27588226"/>
      <w:bookmarkStart w:id="50" w:name="_Toc75168406"/>
      <w:r>
        <w:rPr>
          <w:color w:val="001F5F"/>
        </w:rPr>
        <w:t>Varied policy</w:t>
      </w:r>
      <w:r w:rsidR="0045389A">
        <w:rPr>
          <w:color w:val="001F5F"/>
        </w:rPr>
        <w:t>,</w:t>
      </w:r>
      <w:r>
        <w:rPr>
          <w:color w:val="001F5F"/>
        </w:rPr>
        <w:t xml:space="preserve"> practice and funding approaches</w:t>
      </w:r>
      <w:bookmarkEnd w:id="48"/>
      <w:bookmarkEnd w:id="49"/>
      <w:bookmarkEnd w:id="50"/>
    </w:p>
    <w:p w14:paraId="1048D559" w14:textId="77777777" w:rsidR="00E52617" w:rsidRDefault="00E52617" w:rsidP="00E52617">
      <w:pPr>
        <w:pStyle w:val="BodyText"/>
        <w:spacing w:before="3"/>
        <w:ind w:left="220" w:right="215"/>
        <w:jc w:val="both"/>
      </w:pPr>
      <w:r>
        <w:t>As set out in the previous section, the Preschool program landscape is differentiated according to the policy approach taken by each state and territory, with variants across the various parts of the sector through which preschool programs are delivered.</w:t>
      </w:r>
    </w:p>
    <w:p w14:paraId="552D699C" w14:textId="77777777" w:rsidR="00E52617" w:rsidRDefault="00E52617" w:rsidP="00E52617">
      <w:pPr>
        <w:pStyle w:val="BodyText"/>
      </w:pPr>
    </w:p>
    <w:p w14:paraId="4A395AF1" w14:textId="731A8539" w:rsidR="00E52617" w:rsidRDefault="00E52617" w:rsidP="00E52617">
      <w:pPr>
        <w:pStyle w:val="BodyText"/>
        <w:ind w:left="220" w:right="211"/>
        <w:jc w:val="both"/>
      </w:pPr>
      <w:r w:rsidRPr="00361DB5">
        <w:t>Distribution of U</w:t>
      </w:r>
      <w:r>
        <w:t>A</w:t>
      </w:r>
      <w:r w:rsidRPr="00361DB5">
        <w:t>NP funding is also different across states and territories, with not all governments pro</w:t>
      </w:r>
      <w:r>
        <w:t>viding funding and/or fee relief for pre</w:t>
      </w:r>
      <w:r w:rsidRPr="00361DB5">
        <w:t xml:space="preserve">school programs in Long Day Care </w:t>
      </w:r>
      <w:r>
        <w:t xml:space="preserve">(LDC) </w:t>
      </w:r>
      <w:r w:rsidRPr="00361DB5">
        <w:t xml:space="preserve">settings, notwithstanding </w:t>
      </w:r>
      <w:r>
        <w:t xml:space="preserve">a </w:t>
      </w:r>
      <w:r w:rsidRPr="00361DB5">
        <w:t xml:space="preserve">clear articulation in </w:t>
      </w:r>
      <w:r>
        <w:t xml:space="preserve">relevant </w:t>
      </w:r>
      <w:r w:rsidRPr="00361DB5">
        <w:t xml:space="preserve">agreements requiring all children to be funded </w:t>
      </w:r>
      <w:r>
        <w:t xml:space="preserve">regardless of </w:t>
      </w:r>
      <w:r w:rsidRPr="00361DB5">
        <w:t xml:space="preserve">settings.  In some states and territories funding to LDCs is generally only received if the child </w:t>
      </w:r>
      <w:r>
        <w:t>is exclusively attending an LDC.  I</w:t>
      </w:r>
      <w:r w:rsidRPr="00361DB5">
        <w:t>f a child is</w:t>
      </w:r>
      <w:r>
        <w:t xml:space="preserve"> also</w:t>
      </w:r>
      <w:r w:rsidRPr="00361DB5">
        <w:t xml:space="preserve"> attending a standalone preschool or school based preschool UANP funding </w:t>
      </w:r>
      <w:r>
        <w:t>is directed to the preschool</w:t>
      </w:r>
      <w:r w:rsidRPr="00361DB5">
        <w:t>s</w:t>
      </w:r>
      <w:r>
        <w:t xml:space="preserve">. As part of consultations </w:t>
      </w:r>
      <w:r w:rsidR="0045389A">
        <w:t>undertaken with the sector for this report,</w:t>
      </w:r>
      <w:r>
        <w:t xml:space="preserve"> this issue has been flagged as a barrier to participation by some Long Day Care providers.</w:t>
      </w:r>
    </w:p>
    <w:p w14:paraId="15629E27" w14:textId="77777777" w:rsidR="00E52617" w:rsidRDefault="00E52617" w:rsidP="00E52617">
      <w:pPr>
        <w:pStyle w:val="BodyText"/>
        <w:spacing w:before="11"/>
        <w:rPr>
          <w:sz w:val="21"/>
        </w:rPr>
      </w:pPr>
    </w:p>
    <w:p w14:paraId="035A0667" w14:textId="77777777" w:rsidR="00E52617" w:rsidRDefault="00E52617" w:rsidP="00E52617">
      <w:pPr>
        <w:pStyle w:val="BodyText"/>
        <w:ind w:left="220" w:right="214"/>
        <w:jc w:val="both"/>
      </w:pPr>
      <w:r>
        <w:t xml:space="preserve">All states and territories have responded to the range of international research demonstrating the power of quality early childhood education and parental engagement from birth, to improve children’s cognitive, health and social development. Nobel Prize winning economist James Heckman (2007) has shown that the economic return on investment in the early years is higher than at any other time in a child’s development. More recently, The Front Project (2019) estimates that the return on investment for early childhood education is 1:2, with positive effects felt across educational attainment, workforce participation and tax revenue.  Over the past 20 years or more, state and territory governments have been implementing and progressively refining a range of Early Childhood initiatives designed to identify the most vulnerable families for intervention, and to support parents to provide positive </w:t>
      </w:r>
      <w:r>
        <w:rPr>
          <w:spacing w:val="2"/>
        </w:rPr>
        <w:t xml:space="preserve">home </w:t>
      </w:r>
      <w:r>
        <w:t xml:space="preserve">learning and developmental environments and care for their children from birth to the start of school. While intended outcomes for these initiatives may </w:t>
      </w:r>
      <w:r>
        <w:rPr>
          <w:spacing w:val="-3"/>
        </w:rPr>
        <w:t xml:space="preserve">be </w:t>
      </w:r>
      <w:r>
        <w:t>broader than increasing preschool participation, these programs may, through linking families to the service system, provide a pathway to participation.</w:t>
      </w:r>
    </w:p>
    <w:p w14:paraId="2449A3FE" w14:textId="5CA4BBD4" w:rsidR="00E52617" w:rsidRDefault="00E52617" w:rsidP="00E52617">
      <w:pPr>
        <w:jc w:val="both"/>
      </w:pPr>
    </w:p>
    <w:p w14:paraId="3825029E" w14:textId="51B2A24C" w:rsidR="00E52617" w:rsidRDefault="00E52617" w:rsidP="00E52617">
      <w:pPr>
        <w:pStyle w:val="Heading3"/>
        <w:spacing w:before="94"/>
        <w:ind w:left="220"/>
        <w:rPr>
          <w:b w:val="0"/>
        </w:rPr>
      </w:pPr>
      <w:bookmarkStart w:id="51" w:name="_Toc27585812"/>
      <w:bookmarkStart w:id="52" w:name="_Toc27588227"/>
      <w:bookmarkStart w:id="53" w:name="_Toc75168407"/>
      <w:r>
        <w:rPr>
          <w:color w:val="001F5F"/>
        </w:rPr>
        <w:t>What is known about how effective these approaches are</w:t>
      </w:r>
      <w:r>
        <w:rPr>
          <w:b w:val="0"/>
          <w:color w:val="001F5F"/>
        </w:rPr>
        <w:t>?</w:t>
      </w:r>
      <w:bookmarkEnd w:id="51"/>
      <w:bookmarkEnd w:id="52"/>
      <w:bookmarkEnd w:id="53"/>
    </w:p>
    <w:p w14:paraId="7EE23BD7" w14:textId="77777777" w:rsidR="00E52617" w:rsidRDefault="00E52617" w:rsidP="00E52617">
      <w:pPr>
        <w:pStyle w:val="BodyText"/>
        <w:spacing w:before="4"/>
        <w:ind w:left="220" w:right="214"/>
        <w:jc w:val="both"/>
      </w:pPr>
      <w:r>
        <w:t>There are range a of data anomalies, differences in ‘counting rules’, data collection differences, and other data issues in this area of service delivery (Productivity Commission, 2016). While it is clear that there has been a substantial increase in preschool enrolment and attendance since 2010, and considerable anecdotal evidence about cohorts of the population who are less likely to access preschool services, it does not appear possible to drill into the details of service usage longitudinally or by location. In addition while there are a broad range of universal and targeted programs focussed across the continuum from conception to age 5, there is no overarching, consistent evaluation framework and program-by-program evaluations are sporadic and inconsistent in approach.</w:t>
      </w:r>
    </w:p>
    <w:p w14:paraId="481E9C25" w14:textId="77777777" w:rsidR="00E52617" w:rsidRDefault="00E52617" w:rsidP="00E52617">
      <w:pPr>
        <w:pStyle w:val="BodyText"/>
        <w:spacing w:before="10"/>
        <w:rPr>
          <w:sz w:val="21"/>
        </w:rPr>
      </w:pPr>
    </w:p>
    <w:p w14:paraId="595906CA" w14:textId="77777777" w:rsidR="00E52617" w:rsidRDefault="00E52617" w:rsidP="00E52617">
      <w:pPr>
        <w:pStyle w:val="BodyText"/>
        <w:ind w:left="220" w:right="215"/>
        <w:jc w:val="both"/>
      </w:pPr>
      <w:r>
        <w:t>Therefore, it currently does not appear to be possible to answer the question of the extent to which approaches by State and Territory Governments to support preschool enrolment and attendance have been successful, or to clearly define what works for whom in what circumstances.</w:t>
      </w:r>
    </w:p>
    <w:p w14:paraId="60C2199F" w14:textId="77777777" w:rsidR="00E52617" w:rsidRDefault="00E52617" w:rsidP="00ED1871">
      <w:pPr>
        <w:ind w:left="260"/>
        <w:jc w:val="both"/>
        <w:rPr>
          <w:sz w:val="18"/>
        </w:rPr>
      </w:pPr>
    </w:p>
    <w:p w14:paraId="7D92B407" w14:textId="38983600" w:rsidR="00E52617" w:rsidRDefault="00E52617" w:rsidP="00E52617">
      <w:pPr>
        <w:jc w:val="both"/>
        <w:rPr>
          <w:sz w:val="18"/>
        </w:rPr>
      </w:pPr>
    </w:p>
    <w:p w14:paraId="15310EAF" w14:textId="4BB08285" w:rsidR="009B27CD" w:rsidRDefault="00282527" w:rsidP="009B27CD">
      <w:pPr>
        <w:pStyle w:val="Heading3"/>
        <w:spacing w:before="94"/>
        <w:ind w:left="220"/>
        <w:rPr>
          <w:b w:val="0"/>
        </w:rPr>
      </w:pPr>
      <w:bookmarkStart w:id="54" w:name="_Toc75168408"/>
      <w:r>
        <w:rPr>
          <w:color w:val="001F5F"/>
        </w:rPr>
        <w:t>Programs and initiatives across States and Territories</w:t>
      </w:r>
      <w:bookmarkEnd w:id="54"/>
    </w:p>
    <w:p w14:paraId="425C7F08" w14:textId="77777777" w:rsidR="009B27CD" w:rsidRDefault="009B27CD" w:rsidP="00E52617">
      <w:pPr>
        <w:jc w:val="both"/>
        <w:rPr>
          <w:sz w:val="18"/>
        </w:rPr>
      </w:pPr>
    </w:p>
    <w:p w14:paraId="4A96AEE6" w14:textId="696DDD87" w:rsidR="00282527" w:rsidRDefault="00282527" w:rsidP="009B27CD">
      <w:pPr>
        <w:pStyle w:val="BodyText"/>
        <w:ind w:left="220" w:right="210"/>
        <w:jc w:val="both"/>
      </w:pPr>
      <w:r>
        <w:t xml:space="preserve">In order to document programs and initiatives in place to increase preschool participation across Australia, the Project obtained information directly from jurisdictions to ensure that information was accurate at the time of writing. </w:t>
      </w:r>
    </w:p>
    <w:p w14:paraId="671D31F4" w14:textId="77777777" w:rsidR="00282527" w:rsidRDefault="00282527" w:rsidP="009B27CD">
      <w:pPr>
        <w:pStyle w:val="BodyText"/>
        <w:ind w:left="220" w:right="210"/>
        <w:jc w:val="both"/>
      </w:pPr>
    </w:p>
    <w:p w14:paraId="0C5BAC6D" w14:textId="783496FF" w:rsidR="009B27CD" w:rsidRPr="009B27CD" w:rsidRDefault="00282527" w:rsidP="0045389A">
      <w:pPr>
        <w:pStyle w:val="BodyText"/>
        <w:ind w:left="180" w:right="210"/>
        <w:jc w:val="both"/>
      </w:pPr>
      <w:r>
        <w:t>Table 7 identifies a range of p</w:t>
      </w:r>
      <w:r w:rsidR="009B27CD" w:rsidRPr="009B27CD">
        <w:t>rograms or initiatives, by state and territories</w:t>
      </w:r>
      <w:r>
        <w:t xml:space="preserve">, that are specifically </w:t>
      </w:r>
      <w:r w:rsidR="009B27CD" w:rsidRPr="009B27CD">
        <w:t xml:space="preserve">designed to increase preschool participation in the year before full-time schooling, while Table 8 identifies a range of Early Childhood (birth to age five or six) programs which may encourage participation in preschool in the year before full-time schooling. </w:t>
      </w:r>
    </w:p>
    <w:p w14:paraId="1A8F47EC" w14:textId="77777777" w:rsidR="009B27CD" w:rsidRDefault="009B27CD" w:rsidP="00E52617">
      <w:pPr>
        <w:jc w:val="both"/>
        <w:rPr>
          <w:sz w:val="18"/>
        </w:rPr>
        <w:sectPr w:rsidR="009B27CD" w:rsidSect="009F4205">
          <w:pgSz w:w="11910" w:h="16840"/>
          <w:pgMar w:top="1843" w:right="1220" w:bottom="920" w:left="1180" w:header="567" w:footer="730" w:gutter="0"/>
          <w:cols w:space="720"/>
        </w:sectPr>
      </w:pPr>
    </w:p>
    <w:p w14:paraId="26BB829B" w14:textId="6D17B570" w:rsidR="009B7D24" w:rsidRDefault="009B7D24"/>
    <w:p w14:paraId="61FEA1AC" w14:textId="5756AFA2" w:rsidR="00D41241" w:rsidRDefault="00D41241" w:rsidP="00D41241">
      <w:pPr>
        <w:rPr>
          <w:b/>
          <w:color w:val="002060"/>
        </w:rPr>
      </w:pPr>
      <w:r>
        <w:rPr>
          <w:b/>
          <w:color w:val="002060"/>
        </w:rPr>
        <w:t xml:space="preserve">Table 7: </w:t>
      </w:r>
      <w:r w:rsidRPr="00DB6B18">
        <w:rPr>
          <w:b/>
          <w:color w:val="002060"/>
        </w:rPr>
        <w:t>Programs or initiatives specif</w:t>
      </w:r>
      <w:r>
        <w:rPr>
          <w:b/>
          <w:color w:val="002060"/>
        </w:rPr>
        <w:t>ically designed to increase Pre</w:t>
      </w:r>
      <w:r w:rsidRPr="00DB6B18">
        <w:rPr>
          <w:b/>
          <w:color w:val="002060"/>
        </w:rPr>
        <w:t xml:space="preserve">school participation in the Year Before </w:t>
      </w:r>
      <w:r w:rsidR="00A65D8F">
        <w:rPr>
          <w:b/>
          <w:color w:val="002060"/>
        </w:rPr>
        <w:t>Full-time</w:t>
      </w:r>
      <w:r w:rsidRPr="00DB6B18">
        <w:rPr>
          <w:b/>
          <w:color w:val="002060"/>
        </w:rPr>
        <w:t xml:space="preserve"> Schooling</w:t>
      </w:r>
    </w:p>
    <w:p w14:paraId="19414583" w14:textId="77777777" w:rsidR="00770C7D" w:rsidRPr="0024562B" w:rsidRDefault="00770C7D" w:rsidP="00D41241">
      <w:pPr>
        <w:rPr>
          <w:b/>
          <w:color w:val="002060"/>
        </w:rPr>
      </w:pPr>
    </w:p>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39"/>
      </w:tblGrid>
      <w:tr w:rsidR="00770C7D" w:rsidRPr="002B22A8" w14:paraId="4BB4AB7B" w14:textId="76B8DAF5" w:rsidTr="00E37FB3">
        <w:tc>
          <w:tcPr>
            <w:tcW w:w="2835" w:type="dxa"/>
            <w:tcBorders>
              <w:bottom w:val="single" w:sz="4" w:space="0" w:color="auto"/>
            </w:tcBorders>
            <w:shd w:val="clear" w:color="auto" w:fill="D9D9D9" w:themeFill="background1" w:themeFillShade="D9"/>
          </w:tcPr>
          <w:p w14:paraId="3404BC5C" w14:textId="77777777" w:rsidR="008C1B4B" w:rsidRDefault="008C1B4B" w:rsidP="00B6013D">
            <w:pPr>
              <w:rPr>
                <w:b/>
                <w:color w:val="002060"/>
              </w:rPr>
            </w:pPr>
          </w:p>
          <w:p w14:paraId="008D21D3" w14:textId="7DA81398" w:rsidR="00770C7D" w:rsidRPr="002B22A8" w:rsidRDefault="00770C7D" w:rsidP="00B6013D">
            <w:pPr>
              <w:rPr>
                <w:rFonts w:eastAsia="Times New Roman"/>
                <w:color w:val="000000"/>
                <w:spacing w:val="2"/>
              </w:rPr>
            </w:pPr>
            <w:r>
              <w:rPr>
                <w:b/>
                <w:color w:val="002060"/>
              </w:rPr>
              <w:t>Australian Capital Territory</w:t>
            </w:r>
          </w:p>
          <w:p w14:paraId="41574311" w14:textId="77777777" w:rsidR="00770C7D" w:rsidRPr="002B22A8" w:rsidRDefault="00770C7D" w:rsidP="00B6013D">
            <w:pPr>
              <w:rPr>
                <w:rFonts w:eastAsia="Times New Roman"/>
                <w:color w:val="000000"/>
                <w:spacing w:val="2"/>
              </w:rPr>
            </w:pPr>
          </w:p>
        </w:tc>
        <w:tc>
          <w:tcPr>
            <w:tcW w:w="11340" w:type="dxa"/>
            <w:tcBorders>
              <w:bottom w:val="single" w:sz="4" w:space="0" w:color="auto"/>
            </w:tcBorders>
            <w:shd w:val="clear" w:color="auto" w:fill="F2F2F2" w:themeFill="background1" w:themeFillShade="F2"/>
          </w:tcPr>
          <w:p w14:paraId="187F0138" w14:textId="77777777" w:rsidR="008C1B4B" w:rsidRDefault="008C1B4B" w:rsidP="00B6013D"/>
          <w:p w14:paraId="05E9AB66" w14:textId="5CDDD1DF" w:rsidR="00770C7D" w:rsidRDefault="008C1B4B" w:rsidP="00B6013D">
            <w:r>
              <w:rPr>
                <w:color w:val="202020"/>
                <w:spacing w:val="-3"/>
                <w:sz w:val="24"/>
                <w:szCs w:val="24"/>
              </w:rPr>
              <w:t>Strategy Focus</w:t>
            </w:r>
            <w:r>
              <w:t xml:space="preserve">: </w:t>
            </w:r>
            <w:r w:rsidR="00770C7D" w:rsidRPr="00961318">
              <w:t>The</w:t>
            </w:r>
            <w:r w:rsidR="00770C7D">
              <w:t xml:space="preserve"> ACT Education Directorate are currently developing an </w:t>
            </w:r>
            <w:r w:rsidR="00770C7D" w:rsidRPr="00961318">
              <w:rPr>
                <w:i/>
              </w:rPr>
              <w:t>Early Education Strategy</w:t>
            </w:r>
            <w:r w:rsidR="00770C7D" w:rsidRPr="00961318">
              <w:t xml:space="preserve"> </w:t>
            </w:r>
            <w:r w:rsidR="00770C7D">
              <w:t>for the ACT. F</w:t>
            </w:r>
            <w:r w:rsidR="00770C7D" w:rsidRPr="00961318">
              <w:t xml:space="preserve">our key </w:t>
            </w:r>
            <w:r w:rsidR="00770C7D">
              <w:t>elements are guiding the development of the Strategy</w:t>
            </w:r>
            <w:r w:rsidR="00770C7D" w:rsidRPr="00961318">
              <w:t xml:space="preserve">: </w:t>
            </w:r>
            <w:r w:rsidR="0045389A">
              <w:t>i</w:t>
            </w:r>
            <w:r w:rsidR="00770C7D" w:rsidRPr="00961318">
              <w:t>ncreasing a</w:t>
            </w:r>
            <w:r w:rsidR="0045389A">
              <w:t>ccess, equity and affordability;</w:t>
            </w:r>
            <w:r w:rsidR="00770C7D" w:rsidRPr="00961318">
              <w:t xml:space="preserve"> enhancing the wor</w:t>
            </w:r>
            <w:r w:rsidR="0045389A">
              <w:t>kforce and their qualifications;</w:t>
            </w:r>
            <w:r w:rsidR="00770C7D" w:rsidRPr="00961318">
              <w:t xml:space="preserve"> ensuring seamless transitions from education and care to school</w:t>
            </w:r>
            <w:r w:rsidR="0045389A">
              <w:t>;</w:t>
            </w:r>
            <w:r w:rsidR="00770C7D" w:rsidRPr="00961318">
              <w:t xml:space="preserve"> and maximising the benefit to children from money spent</w:t>
            </w:r>
            <w:r w:rsidR="00770C7D">
              <w:t>.</w:t>
            </w:r>
          </w:p>
          <w:p w14:paraId="2CB4F2F3" w14:textId="728F7E35" w:rsidR="008C1B4B" w:rsidRPr="002B22A8" w:rsidRDefault="008C1B4B" w:rsidP="00B6013D">
            <w:pPr>
              <w:rPr>
                <w:rFonts w:eastAsia="Times New Roman"/>
                <w:color w:val="000000"/>
                <w:spacing w:val="2"/>
              </w:rPr>
            </w:pPr>
          </w:p>
        </w:tc>
      </w:tr>
      <w:tr w:rsidR="00D8204D" w:rsidRPr="00961318" w14:paraId="56C27250" w14:textId="77777777" w:rsidTr="00E37FB3">
        <w:trPr>
          <w:tblHeader/>
        </w:trPr>
        <w:tc>
          <w:tcPr>
            <w:tcW w:w="14175" w:type="dxa"/>
            <w:gridSpan w:val="2"/>
            <w:tcBorders>
              <w:top w:val="single" w:sz="4" w:space="0" w:color="auto"/>
              <w:left w:val="single" w:sz="4" w:space="0" w:color="auto"/>
              <w:right w:val="single" w:sz="4" w:space="0" w:color="auto"/>
            </w:tcBorders>
            <w:shd w:val="clear" w:color="auto" w:fill="auto"/>
          </w:tcPr>
          <w:p w14:paraId="060A5DF0" w14:textId="5C405DA1" w:rsidR="00D8204D" w:rsidRDefault="00770C7D" w:rsidP="00B6013D">
            <w:pPr>
              <w:rPr>
                <w:b/>
                <w:color w:val="002060"/>
              </w:rPr>
            </w:pPr>
            <w:r>
              <w:rPr>
                <w:i/>
                <w:iCs/>
              </w:rPr>
              <w:t>No programs or initiatives specifically targeted at increasing preschool participation in the year before formal schooling</w:t>
            </w:r>
          </w:p>
        </w:tc>
      </w:tr>
    </w:tbl>
    <w:p w14:paraId="5D5A021F" w14:textId="3B8E9398" w:rsidR="00770C7D" w:rsidRDefault="00770C7D" w:rsidP="00D41241"/>
    <w:p w14:paraId="67C0F7DF" w14:textId="77777777" w:rsidR="00192655" w:rsidRDefault="00192655" w:rsidP="00D41241"/>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5702"/>
        <w:gridCol w:w="3801"/>
        <w:gridCol w:w="1743"/>
      </w:tblGrid>
      <w:tr w:rsidR="00800AEE" w:rsidRPr="002B22A8" w14:paraId="3BAE9BBF" w14:textId="627ECE11" w:rsidTr="00E37FB3">
        <w:tc>
          <w:tcPr>
            <w:tcW w:w="2929" w:type="dxa"/>
            <w:shd w:val="clear" w:color="auto" w:fill="D9D9D9" w:themeFill="background1" w:themeFillShade="D9"/>
          </w:tcPr>
          <w:p w14:paraId="3B9BDA0E" w14:textId="77777777" w:rsidR="008C1B4B" w:rsidRDefault="008C1B4B" w:rsidP="00B6013D">
            <w:pPr>
              <w:rPr>
                <w:b/>
                <w:color w:val="002060"/>
              </w:rPr>
            </w:pPr>
          </w:p>
          <w:p w14:paraId="7B4F6268" w14:textId="638D37A0" w:rsidR="00800AEE" w:rsidRPr="002B22A8" w:rsidRDefault="00800AEE" w:rsidP="00B6013D">
            <w:pPr>
              <w:rPr>
                <w:rFonts w:eastAsia="Times New Roman"/>
                <w:color w:val="000000"/>
                <w:spacing w:val="2"/>
              </w:rPr>
            </w:pPr>
            <w:r w:rsidRPr="002B22A8">
              <w:rPr>
                <w:b/>
                <w:color w:val="002060"/>
              </w:rPr>
              <w:t>New South Wales</w:t>
            </w:r>
            <w:r w:rsidRPr="002B22A8">
              <w:rPr>
                <w:rFonts w:eastAsia="Times New Roman"/>
                <w:color w:val="000000"/>
                <w:spacing w:val="2"/>
              </w:rPr>
              <w:t xml:space="preserve"> </w:t>
            </w:r>
          </w:p>
          <w:p w14:paraId="1D37F362" w14:textId="77777777" w:rsidR="00800AEE" w:rsidRDefault="00800AEE" w:rsidP="00B6013D">
            <w:pPr>
              <w:rPr>
                <w:rFonts w:eastAsia="Times New Roman"/>
                <w:color w:val="000000"/>
                <w:spacing w:val="2"/>
              </w:rPr>
            </w:pPr>
          </w:p>
          <w:p w14:paraId="2F7F24AC" w14:textId="305A8F4B" w:rsidR="00800AEE" w:rsidRPr="002B22A8" w:rsidRDefault="00800AEE" w:rsidP="00B6013D">
            <w:pPr>
              <w:rPr>
                <w:rFonts w:eastAsia="Times New Roman"/>
                <w:color w:val="000000"/>
                <w:spacing w:val="2"/>
              </w:rPr>
            </w:pPr>
          </w:p>
        </w:tc>
        <w:tc>
          <w:tcPr>
            <w:tcW w:w="11246" w:type="dxa"/>
            <w:gridSpan w:val="3"/>
            <w:shd w:val="clear" w:color="auto" w:fill="F2F2F2" w:themeFill="background1" w:themeFillShade="F2"/>
          </w:tcPr>
          <w:p w14:paraId="7CEF4BF7" w14:textId="77777777" w:rsidR="008C1B4B" w:rsidRDefault="008C1B4B" w:rsidP="00800AEE">
            <w:pPr>
              <w:rPr>
                <w:rFonts w:eastAsia="Times New Roman"/>
                <w:color w:val="000000"/>
                <w:spacing w:val="2"/>
              </w:rPr>
            </w:pPr>
          </w:p>
          <w:p w14:paraId="608FF532" w14:textId="5FC732F5" w:rsidR="00800AEE" w:rsidRDefault="008C1B4B" w:rsidP="00800AEE">
            <w:pPr>
              <w:rPr>
                <w:rFonts w:eastAsia="Times New Roman"/>
                <w:color w:val="000000"/>
                <w:spacing w:val="2"/>
              </w:rPr>
            </w:pPr>
            <w:r>
              <w:rPr>
                <w:color w:val="202020"/>
                <w:spacing w:val="-3"/>
                <w:sz w:val="24"/>
                <w:szCs w:val="24"/>
              </w:rPr>
              <w:t>Strategy Focus</w:t>
            </w:r>
            <w:r>
              <w:rPr>
                <w:rFonts w:eastAsia="Times New Roman"/>
                <w:color w:val="000000"/>
                <w:spacing w:val="2"/>
              </w:rPr>
              <w:t xml:space="preserve">: </w:t>
            </w:r>
            <w:r w:rsidR="00800AEE" w:rsidRPr="002B22A8">
              <w:rPr>
                <w:rFonts w:eastAsia="Times New Roman"/>
                <w:color w:val="000000"/>
                <w:spacing w:val="2"/>
              </w:rPr>
              <w:t>Ensuring: Universal access; Choice and sustainability; Quality learning environments; Support for diverse needs.</w:t>
            </w:r>
            <w:r w:rsidR="00800AEE">
              <w:rPr>
                <w:rFonts w:eastAsia="Times New Roman"/>
                <w:color w:val="000000"/>
                <w:spacing w:val="2"/>
              </w:rPr>
              <w:t xml:space="preserve"> </w:t>
            </w:r>
          </w:p>
          <w:p w14:paraId="35B45498" w14:textId="579157EC" w:rsidR="00800AEE" w:rsidRPr="002B22A8" w:rsidRDefault="00800AEE" w:rsidP="00B6013D">
            <w:pPr>
              <w:rPr>
                <w:rFonts w:eastAsia="Times New Roman"/>
                <w:color w:val="000000"/>
                <w:spacing w:val="2"/>
              </w:rPr>
            </w:pPr>
          </w:p>
        </w:tc>
      </w:tr>
      <w:tr w:rsidR="00D41241" w:rsidRPr="00961318" w14:paraId="4AEA2088" w14:textId="77777777" w:rsidTr="00E37FB3">
        <w:trPr>
          <w:tblHeader/>
        </w:trPr>
        <w:tc>
          <w:tcPr>
            <w:tcW w:w="2929" w:type="dxa"/>
            <w:tcBorders>
              <w:top w:val="single" w:sz="4" w:space="0" w:color="auto"/>
              <w:left w:val="single" w:sz="4" w:space="0" w:color="auto"/>
            </w:tcBorders>
            <w:shd w:val="clear" w:color="auto" w:fill="auto"/>
          </w:tcPr>
          <w:p w14:paraId="3499D03E" w14:textId="77777777" w:rsidR="00D41241" w:rsidRPr="00961318" w:rsidRDefault="00D41241" w:rsidP="00B6013D">
            <w:pPr>
              <w:rPr>
                <w:b/>
                <w:color w:val="002060"/>
              </w:rPr>
            </w:pPr>
            <w:r w:rsidRPr="00961318">
              <w:rPr>
                <w:b/>
                <w:color w:val="002060"/>
              </w:rPr>
              <w:t>Program or initiative</w:t>
            </w:r>
          </w:p>
        </w:tc>
        <w:tc>
          <w:tcPr>
            <w:tcW w:w="5702" w:type="dxa"/>
            <w:tcBorders>
              <w:top w:val="single" w:sz="4" w:space="0" w:color="auto"/>
            </w:tcBorders>
            <w:shd w:val="clear" w:color="auto" w:fill="auto"/>
          </w:tcPr>
          <w:p w14:paraId="0BD6BCE8" w14:textId="77777777" w:rsidR="00D41241" w:rsidRPr="00961318" w:rsidRDefault="00D41241" w:rsidP="00B6013D">
            <w:pPr>
              <w:rPr>
                <w:b/>
                <w:color w:val="002060"/>
              </w:rPr>
            </w:pPr>
            <w:r>
              <w:rPr>
                <w:b/>
                <w:color w:val="002060"/>
              </w:rPr>
              <w:t xml:space="preserve">Details </w:t>
            </w:r>
          </w:p>
        </w:tc>
        <w:tc>
          <w:tcPr>
            <w:tcW w:w="3801" w:type="dxa"/>
            <w:shd w:val="clear" w:color="auto" w:fill="auto"/>
          </w:tcPr>
          <w:p w14:paraId="4819D6B7" w14:textId="77777777" w:rsidR="00D41241" w:rsidRPr="00961318" w:rsidRDefault="00D41241" w:rsidP="00B6013D">
            <w:pPr>
              <w:rPr>
                <w:b/>
                <w:color w:val="002060"/>
              </w:rPr>
            </w:pPr>
            <w:r w:rsidRPr="00961318">
              <w:rPr>
                <w:b/>
                <w:color w:val="002060"/>
              </w:rPr>
              <w:t>Key drivers</w:t>
            </w:r>
          </w:p>
        </w:tc>
        <w:tc>
          <w:tcPr>
            <w:tcW w:w="1743" w:type="dxa"/>
          </w:tcPr>
          <w:p w14:paraId="224EFA6E" w14:textId="77777777" w:rsidR="00D41241" w:rsidRPr="00961318" w:rsidRDefault="00D41241" w:rsidP="00B6013D">
            <w:pPr>
              <w:rPr>
                <w:b/>
                <w:color w:val="002060"/>
              </w:rPr>
            </w:pPr>
            <w:r>
              <w:rPr>
                <w:b/>
                <w:color w:val="002060"/>
              </w:rPr>
              <w:t>Evaluation?</w:t>
            </w:r>
          </w:p>
        </w:tc>
      </w:tr>
      <w:tr w:rsidR="00D41241" w:rsidRPr="00961318" w14:paraId="11958955" w14:textId="77777777" w:rsidTr="00E37FB3">
        <w:tc>
          <w:tcPr>
            <w:tcW w:w="2929" w:type="dxa"/>
            <w:shd w:val="clear" w:color="auto" w:fill="auto"/>
          </w:tcPr>
          <w:p w14:paraId="12EEE1B1" w14:textId="77777777" w:rsidR="00D41241" w:rsidRPr="00961318" w:rsidRDefault="00D41241" w:rsidP="00B6013D">
            <w:pPr>
              <w:rPr>
                <w:i/>
                <w:color w:val="000000"/>
              </w:rPr>
            </w:pPr>
            <w:r w:rsidRPr="00961318">
              <w:rPr>
                <w:i/>
                <w:color w:val="000000"/>
              </w:rPr>
              <w:t>Start Strong</w:t>
            </w:r>
          </w:p>
        </w:tc>
        <w:tc>
          <w:tcPr>
            <w:tcW w:w="5702" w:type="dxa"/>
            <w:shd w:val="clear" w:color="auto" w:fill="auto"/>
          </w:tcPr>
          <w:p w14:paraId="14B0AD59" w14:textId="40DBC125" w:rsidR="00D41241" w:rsidRPr="00E52617" w:rsidRDefault="00D41241" w:rsidP="00B6013D">
            <w:pPr>
              <w:rPr>
                <w:bCs/>
                <w:lang w:val="en"/>
              </w:rPr>
            </w:pPr>
            <w:r>
              <w:rPr>
                <w:bCs/>
                <w:lang w:val="en"/>
              </w:rPr>
              <w:t xml:space="preserve">Start Strong </w:t>
            </w:r>
            <w:r w:rsidRPr="000D475D">
              <w:rPr>
                <w:bCs/>
                <w:lang w:val="en"/>
              </w:rPr>
              <w:t>aims to improve affordability of early childhood education and increase the number of children participating for 600 hours in a quality early childhood education program in the year before school.</w:t>
            </w:r>
            <w:r>
              <w:rPr>
                <w:bCs/>
                <w:lang w:val="en"/>
              </w:rPr>
              <w:t xml:space="preserve"> Three year olds in community preschools are also provided funding to improve access and afforda</w:t>
            </w:r>
            <w:r w:rsidR="00E52617">
              <w:rPr>
                <w:bCs/>
                <w:lang w:val="en"/>
              </w:rPr>
              <w:t>bility as part of this program.</w:t>
            </w:r>
          </w:p>
        </w:tc>
        <w:tc>
          <w:tcPr>
            <w:tcW w:w="3801" w:type="dxa"/>
            <w:shd w:val="clear" w:color="auto" w:fill="auto"/>
          </w:tcPr>
          <w:p w14:paraId="58F6DFBC" w14:textId="77777777" w:rsidR="00D41241" w:rsidRPr="00961318" w:rsidRDefault="00D41241" w:rsidP="00B6013D">
            <w:r>
              <w:t>Universal a</w:t>
            </w:r>
            <w:r w:rsidRPr="00961318">
              <w:t xml:space="preserve">ccess for </w:t>
            </w:r>
            <w:r>
              <w:t>children in the two years before school, with a focus on equity cohorts.</w:t>
            </w:r>
          </w:p>
        </w:tc>
        <w:tc>
          <w:tcPr>
            <w:tcW w:w="1743" w:type="dxa"/>
            <w:shd w:val="clear" w:color="auto" w:fill="auto"/>
          </w:tcPr>
          <w:p w14:paraId="11F2162D" w14:textId="77777777" w:rsidR="00D41241" w:rsidRDefault="00D41241" w:rsidP="00B6013D">
            <w:r>
              <w:t xml:space="preserve">External Evaluation </w:t>
            </w:r>
          </w:p>
          <w:p w14:paraId="0F497EE3" w14:textId="77777777" w:rsidR="00D41241" w:rsidRDefault="00D41241" w:rsidP="00B6013D">
            <w:r>
              <w:t xml:space="preserve">Not Publically Available </w:t>
            </w:r>
          </w:p>
        </w:tc>
      </w:tr>
      <w:tr w:rsidR="00D41241" w:rsidRPr="00961318" w14:paraId="68473C42" w14:textId="77777777" w:rsidTr="00E37FB3">
        <w:tc>
          <w:tcPr>
            <w:tcW w:w="2929" w:type="dxa"/>
            <w:shd w:val="clear" w:color="auto" w:fill="auto"/>
          </w:tcPr>
          <w:p w14:paraId="30C24491" w14:textId="77777777" w:rsidR="00D41241" w:rsidRPr="00961318" w:rsidRDefault="00D41241" w:rsidP="00B6013D">
            <w:pPr>
              <w:rPr>
                <w:i/>
              </w:rPr>
            </w:pPr>
            <w:r w:rsidRPr="00961318">
              <w:rPr>
                <w:i/>
                <w:color w:val="000000"/>
              </w:rPr>
              <w:t>Mobile Preschool Contracts</w:t>
            </w:r>
          </w:p>
        </w:tc>
        <w:tc>
          <w:tcPr>
            <w:tcW w:w="5702" w:type="dxa"/>
            <w:shd w:val="clear" w:color="auto" w:fill="auto"/>
          </w:tcPr>
          <w:p w14:paraId="27CD3B7B" w14:textId="77777777" w:rsidR="00D41241" w:rsidRPr="00961318" w:rsidRDefault="00D41241" w:rsidP="00B6013D">
            <w:r w:rsidRPr="00961318">
              <w:t xml:space="preserve">Opt-in fixed term contracts for mobile preschools to </w:t>
            </w:r>
            <w:r>
              <w:t>support the provision of sustainable service delivery and universal access in regional and remote areas.</w:t>
            </w:r>
          </w:p>
        </w:tc>
        <w:tc>
          <w:tcPr>
            <w:tcW w:w="3801" w:type="dxa"/>
            <w:shd w:val="clear" w:color="auto" w:fill="auto"/>
          </w:tcPr>
          <w:p w14:paraId="076F9822" w14:textId="77777777" w:rsidR="00D41241" w:rsidRPr="00961318" w:rsidRDefault="00D41241" w:rsidP="00B6013D">
            <w:r w:rsidRPr="00961318">
              <w:t>To achieve universal access to preschool in rural and remote NSW</w:t>
            </w:r>
            <w:r>
              <w:t>.</w:t>
            </w:r>
          </w:p>
        </w:tc>
        <w:tc>
          <w:tcPr>
            <w:tcW w:w="1743" w:type="dxa"/>
            <w:shd w:val="clear" w:color="auto" w:fill="auto"/>
          </w:tcPr>
          <w:p w14:paraId="5F2BF78A" w14:textId="77777777" w:rsidR="00D41241" w:rsidRDefault="00D41241" w:rsidP="00B6013D">
            <w:r>
              <w:t xml:space="preserve">No Evaluation </w:t>
            </w:r>
          </w:p>
          <w:p w14:paraId="34C442E6" w14:textId="77777777" w:rsidR="00D41241" w:rsidRPr="00961318" w:rsidRDefault="00D41241" w:rsidP="00B6013D"/>
        </w:tc>
      </w:tr>
      <w:tr w:rsidR="00D41241" w:rsidRPr="00961318" w14:paraId="5124D5E8" w14:textId="77777777" w:rsidTr="00E37FB3">
        <w:tc>
          <w:tcPr>
            <w:tcW w:w="2929" w:type="dxa"/>
            <w:shd w:val="clear" w:color="auto" w:fill="auto"/>
          </w:tcPr>
          <w:p w14:paraId="0FDF8D7E" w14:textId="77777777" w:rsidR="00D41241" w:rsidRPr="00961318" w:rsidRDefault="00D41241" w:rsidP="00B6013D">
            <w:pPr>
              <w:rPr>
                <w:i/>
              </w:rPr>
            </w:pPr>
            <w:r w:rsidRPr="00961318">
              <w:rPr>
                <w:i/>
              </w:rPr>
              <w:t>Start Strong Community Safety Net Program</w:t>
            </w:r>
          </w:p>
        </w:tc>
        <w:tc>
          <w:tcPr>
            <w:tcW w:w="5702" w:type="dxa"/>
            <w:shd w:val="clear" w:color="auto" w:fill="auto"/>
          </w:tcPr>
          <w:p w14:paraId="3718CFC1" w14:textId="77777777" w:rsidR="00D41241" w:rsidRDefault="00D41241" w:rsidP="00B6013D">
            <w:r>
              <w:t>The Community Safety Net program has been established to support children in very remote regions in NSW, with the NSW Government working with peak bodies to establish preschool programs in selected communities where there is currently no access to formal early education programs.</w:t>
            </w:r>
          </w:p>
          <w:p w14:paraId="0E43C244" w14:textId="2E7AC65E" w:rsidR="00F82786" w:rsidRPr="00961318" w:rsidRDefault="00F82786" w:rsidP="00B6013D">
            <w:pPr>
              <w:rPr>
                <w:b/>
              </w:rPr>
            </w:pPr>
          </w:p>
        </w:tc>
        <w:tc>
          <w:tcPr>
            <w:tcW w:w="3801" w:type="dxa"/>
            <w:shd w:val="clear" w:color="auto" w:fill="auto"/>
          </w:tcPr>
          <w:p w14:paraId="5880539D" w14:textId="77777777" w:rsidR="00D41241" w:rsidRPr="00961318" w:rsidRDefault="00D41241" w:rsidP="00B6013D">
            <w:r w:rsidRPr="00961318">
              <w:t>To achieve universal access to preschool in rural and remote NSW</w:t>
            </w:r>
            <w:r>
              <w:t>.</w:t>
            </w:r>
          </w:p>
        </w:tc>
        <w:tc>
          <w:tcPr>
            <w:tcW w:w="1743" w:type="dxa"/>
            <w:shd w:val="clear" w:color="auto" w:fill="auto"/>
          </w:tcPr>
          <w:p w14:paraId="4E148E9E" w14:textId="77777777" w:rsidR="00D41241" w:rsidRDefault="00D41241" w:rsidP="00B6013D">
            <w:r>
              <w:t xml:space="preserve">No Evaluation </w:t>
            </w:r>
          </w:p>
          <w:p w14:paraId="05B02269" w14:textId="77777777" w:rsidR="00D41241" w:rsidRPr="00961318" w:rsidRDefault="00D41241" w:rsidP="00B6013D"/>
        </w:tc>
      </w:tr>
      <w:tr w:rsidR="00D41241" w:rsidRPr="00961318" w14:paraId="38B78FD7" w14:textId="77777777" w:rsidTr="00E37FB3">
        <w:tc>
          <w:tcPr>
            <w:tcW w:w="2929" w:type="dxa"/>
            <w:shd w:val="clear" w:color="auto" w:fill="auto"/>
          </w:tcPr>
          <w:p w14:paraId="0D2F153A" w14:textId="77777777" w:rsidR="00D41241" w:rsidRPr="00961318" w:rsidRDefault="00D41241" w:rsidP="00B6013D">
            <w:pPr>
              <w:rPr>
                <w:i/>
              </w:rPr>
            </w:pPr>
            <w:r w:rsidRPr="00961318">
              <w:rPr>
                <w:i/>
              </w:rPr>
              <w:t>Disability and Inclusion Program</w:t>
            </w:r>
          </w:p>
        </w:tc>
        <w:tc>
          <w:tcPr>
            <w:tcW w:w="5702" w:type="dxa"/>
            <w:shd w:val="clear" w:color="auto" w:fill="auto"/>
          </w:tcPr>
          <w:p w14:paraId="624E13C8" w14:textId="77777777" w:rsidR="00D41241" w:rsidRPr="00961318" w:rsidRDefault="00D41241" w:rsidP="00B6013D">
            <w:pPr>
              <w:rPr>
                <w:b/>
              </w:rPr>
            </w:pPr>
            <w:r w:rsidRPr="00FE738A">
              <w:t>The Disability and Inclusion program provides funding and support to enable children with disability and additional learning needs in community-based preschools to participate in a quality early childhood education on the same basis as their peers.</w:t>
            </w:r>
          </w:p>
        </w:tc>
        <w:tc>
          <w:tcPr>
            <w:tcW w:w="3801" w:type="dxa"/>
            <w:shd w:val="clear" w:color="auto" w:fill="auto"/>
          </w:tcPr>
          <w:p w14:paraId="6859C4F5" w14:textId="77777777" w:rsidR="00D41241" w:rsidRPr="00961318" w:rsidRDefault="00D41241" w:rsidP="00B6013D">
            <w:r w:rsidRPr="00961318">
              <w:t xml:space="preserve">Inclusion of children with </w:t>
            </w:r>
            <w:r>
              <w:t xml:space="preserve">a </w:t>
            </w:r>
            <w:r w:rsidRPr="00961318">
              <w:t>disability and additional needs</w:t>
            </w:r>
            <w:r>
              <w:t>.</w:t>
            </w:r>
          </w:p>
        </w:tc>
        <w:tc>
          <w:tcPr>
            <w:tcW w:w="1743" w:type="dxa"/>
            <w:shd w:val="clear" w:color="auto" w:fill="auto"/>
          </w:tcPr>
          <w:p w14:paraId="56E5DB05" w14:textId="77777777" w:rsidR="00D41241" w:rsidRDefault="00D41241" w:rsidP="00B6013D">
            <w:r>
              <w:t xml:space="preserve">External Evaluation </w:t>
            </w:r>
          </w:p>
          <w:p w14:paraId="4B103DDC" w14:textId="77777777" w:rsidR="00D41241" w:rsidRDefault="00D41241" w:rsidP="00B6013D">
            <w:r>
              <w:t>(1 year review)</w:t>
            </w:r>
          </w:p>
          <w:p w14:paraId="4922021B" w14:textId="77777777" w:rsidR="00D41241" w:rsidRPr="00961318" w:rsidRDefault="00D41241" w:rsidP="00B6013D">
            <w:r>
              <w:t xml:space="preserve">Not Publically Available </w:t>
            </w:r>
          </w:p>
        </w:tc>
      </w:tr>
      <w:tr w:rsidR="00D41241" w:rsidRPr="00961318" w14:paraId="439AA7FC" w14:textId="77777777" w:rsidTr="00E37FB3">
        <w:tc>
          <w:tcPr>
            <w:tcW w:w="2929" w:type="dxa"/>
            <w:shd w:val="clear" w:color="auto" w:fill="auto"/>
          </w:tcPr>
          <w:p w14:paraId="7515F043" w14:textId="77777777" w:rsidR="00D41241" w:rsidRPr="00961318" w:rsidRDefault="00D41241" w:rsidP="00B6013D">
            <w:pPr>
              <w:rPr>
                <w:i/>
              </w:rPr>
            </w:pPr>
            <w:r w:rsidRPr="00961318">
              <w:rPr>
                <w:i/>
              </w:rPr>
              <w:t xml:space="preserve">Non-Price Barriers to Preschool Participation </w:t>
            </w:r>
          </w:p>
        </w:tc>
        <w:tc>
          <w:tcPr>
            <w:tcW w:w="5702" w:type="dxa"/>
            <w:shd w:val="clear" w:color="auto" w:fill="auto"/>
          </w:tcPr>
          <w:p w14:paraId="65AF2D47" w14:textId="77777777" w:rsidR="00D41241" w:rsidRPr="00961318" w:rsidRDefault="00D41241" w:rsidP="00B6013D">
            <w:r w:rsidRPr="00961318">
              <w:t xml:space="preserve">Research project being conducted by Macquarie University to </w:t>
            </w:r>
            <w:r>
              <w:t xml:space="preserve">measure the impact of non-fee interventions on </w:t>
            </w:r>
            <w:r w:rsidRPr="00961318">
              <w:t xml:space="preserve">low SES </w:t>
            </w:r>
            <w:r>
              <w:t>participation in early childhood education.</w:t>
            </w:r>
          </w:p>
        </w:tc>
        <w:tc>
          <w:tcPr>
            <w:tcW w:w="3801" w:type="dxa"/>
            <w:shd w:val="clear" w:color="auto" w:fill="auto"/>
          </w:tcPr>
          <w:p w14:paraId="0C68EF36" w14:textId="77777777" w:rsidR="00D41241" w:rsidRPr="00961318" w:rsidRDefault="00D41241" w:rsidP="00B6013D">
            <w:r w:rsidRPr="00961318">
              <w:t xml:space="preserve">To better understand the non-price barriers to preschool participation </w:t>
            </w:r>
          </w:p>
        </w:tc>
        <w:tc>
          <w:tcPr>
            <w:tcW w:w="1743" w:type="dxa"/>
            <w:shd w:val="clear" w:color="auto" w:fill="auto"/>
          </w:tcPr>
          <w:p w14:paraId="30ADAC1B" w14:textId="77777777" w:rsidR="00D41241" w:rsidRDefault="00D41241" w:rsidP="00B6013D">
            <w:r>
              <w:t xml:space="preserve">Research in progress </w:t>
            </w:r>
          </w:p>
          <w:p w14:paraId="11B05836" w14:textId="77777777" w:rsidR="00D41241" w:rsidRDefault="00D41241" w:rsidP="00B6013D"/>
          <w:p w14:paraId="3534BF46" w14:textId="77777777" w:rsidR="00D41241" w:rsidRPr="00961318" w:rsidRDefault="00D41241" w:rsidP="00B6013D"/>
        </w:tc>
      </w:tr>
      <w:tr w:rsidR="00D41241" w:rsidRPr="00961318" w14:paraId="6F59234B" w14:textId="77777777" w:rsidTr="00E37FB3">
        <w:tc>
          <w:tcPr>
            <w:tcW w:w="2929" w:type="dxa"/>
            <w:shd w:val="clear" w:color="auto" w:fill="auto"/>
          </w:tcPr>
          <w:p w14:paraId="1F2B5A4C" w14:textId="77777777" w:rsidR="00D41241" w:rsidRPr="00A9522F" w:rsidRDefault="00D41241" w:rsidP="00B6013D">
            <w:pPr>
              <w:rPr>
                <w:i/>
              </w:rPr>
            </w:pPr>
            <w:r w:rsidRPr="00A9522F">
              <w:rPr>
                <w:i/>
              </w:rPr>
              <w:t>Community Grants Program</w:t>
            </w:r>
          </w:p>
        </w:tc>
        <w:tc>
          <w:tcPr>
            <w:tcW w:w="5702" w:type="dxa"/>
            <w:shd w:val="clear" w:color="auto" w:fill="auto"/>
          </w:tcPr>
          <w:p w14:paraId="5D33D0BA" w14:textId="77777777" w:rsidR="00D41241" w:rsidRPr="00961318" w:rsidRDefault="00D41241" w:rsidP="00B6013D">
            <w:r>
              <w:rPr>
                <w:lang w:val="en"/>
              </w:rPr>
              <w:t>The Community Grants program provides funding to eligible early childhood education services to</w:t>
            </w:r>
            <w:r>
              <w:t xml:space="preserve"> enable them to </w:t>
            </w:r>
            <w:r w:rsidRPr="00836B12">
              <w:rPr>
                <w:lang w:val="en"/>
              </w:rPr>
              <w:t xml:space="preserve">promote educational access for Aboriginal children and children from low income families, as well as </w:t>
            </w:r>
            <w:r>
              <w:rPr>
                <w:lang w:val="en"/>
              </w:rPr>
              <w:t xml:space="preserve">develop </w:t>
            </w:r>
            <w:r w:rsidRPr="00836B12">
              <w:rPr>
                <w:lang w:val="en"/>
              </w:rPr>
              <w:t xml:space="preserve">initiatives that will improve educational experiences or outcomes for those children </w:t>
            </w:r>
            <w:r>
              <w:rPr>
                <w:lang w:val="en"/>
              </w:rPr>
              <w:t xml:space="preserve">already </w:t>
            </w:r>
            <w:r w:rsidRPr="00836B12">
              <w:rPr>
                <w:lang w:val="en"/>
              </w:rPr>
              <w:t>attending a service.</w:t>
            </w:r>
            <w:r>
              <w:rPr>
                <w:lang w:val="en"/>
              </w:rPr>
              <w:t xml:space="preserve"> </w:t>
            </w:r>
          </w:p>
        </w:tc>
        <w:tc>
          <w:tcPr>
            <w:tcW w:w="3801" w:type="dxa"/>
            <w:shd w:val="clear" w:color="auto" w:fill="auto"/>
          </w:tcPr>
          <w:p w14:paraId="27DB5579" w14:textId="77777777" w:rsidR="00D41241" w:rsidRPr="00961318" w:rsidRDefault="00D41241" w:rsidP="00B6013D">
            <w:r>
              <w:rPr>
                <w:lang w:val="en"/>
              </w:rPr>
              <w:t>Increase the number of Aboriginal children and children from low income families participating in 600 hours of quality early childhood education in the two years before school as well as improve the outcomes for children attending the service.</w:t>
            </w:r>
          </w:p>
        </w:tc>
        <w:tc>
          <w:tcPr>
            <w:tcW w:w="1743" w:type="dxa"/>
            <w:shd w:val="clear" w:color="auto" w:fill="auto"/>
          </w:tcPr>
          <w:p w14:paraId="246ADDFF" w14:textId="77777777" w:rsidR="00D41241" w:rsidRDefault="00D41241" w:rsidP="00B6013D">
            <w:r>
              <w:t xml:space="preserve">No Evaluation </w:t>
            </w:r>
          </w:p>
          <w:p w14:paraId="32D34DB7" w14:textId="77777777" w:rsidR="00D41241" w:rsidRDefault="00D41241" w:rsidP="00B6013D">
            <w:pPr>
              <w:rPr>
                <w:lang w:val="en"/>
              </w:rPr>
            </w:pPr>
          </w:p>
        </w:tc>
      </w:tr>
      <w:tr w:rsidR="00D41241" w:rsidRPr="00961318" w14:paraId="7C48FD5B" w14:textId="77777777" w:rsidTr="00E37FB3">
        <w:tc>
          <w:tcPr>
            <w:tcW w:w="2929" w:type="dxa"/>
            <w:shd w:val="clear" w:color="auto" w:fill="auto"/>
          </w:tcPr>
          <w:p w14:paraId="49ABEED4" w14:textId="77777777" w:rsidR="00D41241" w:rsidRPr="00A9522F" w:rsidDel="000D475D" w:rsidRDefault="00D41241" w:rsidP="00B6013D">
            <w:pPr>
              <w:rPr>
                <w:i/>
              </w:rPr>
            </w:pPr>
            <w:r w:rsidRPr="00A9522F">
              <w:rPr>
                <w:i/>
              </w:rPr>
              <w:t>Capital Works Grants Program</w:t>
            </w:r>
          </w:p>
        </w:tc>
        <w:tc>
          <w:tcPr>
            <w:tcW w:w="5702" w:type="dxa"/>
            <w:shd w:val="clear" w:color="auto" w:fill="auto"/>
          </w:tcPr>
          <w:p w14:paraId="63F61B26" w14:textId="77777777" w:rsidR="00D41241" w:rsidRPr="00961318" w:rsidDel="000D475D" w:rsidRDefault="00D41241" w:rsidP="00B6013D">
            <w:r>
              <w:t xml:space="preserve">The Capital Works Grants program provides </w:t>
            </w:r>
            <w:r>
              <w:rPr>
                <w:lang w:val="en"/>
              </w:rPr>
              <w:t>funding to enable eligible early childhood education services to develop innovative approaches to improve access to quality services and increase community preschool places in areas of need and demand.</w:t>
            </w:r>
          </w:p>
        </w:tc>
        <w:tc>
          <w:tcPr>
            <w:tcW w:w="3801" w:type="dxa"/>
            <w:shd w:val="clear" w:color="auto" w:fill="auto"/>
          </w:tcPr>
          <w:p w14:paraId="737C5C5D" w14:textId="77777777" w:rsidR="00D41241" w:rsidRPr="00961318" w:rsidDel="000D475D" w:rsidRDefault="00D41241" w:rsidP="00B6013D">
            <w:r>
              <w:rPr>
                <w:lang w:val="en"/>
              </w:rPr>
              <w:t>Increase access to and participation in early childhood education for children in the two years before school.</w:t>
            </w:r>
          </w:p>
        </w:tc>
        <w:tc>
          <w:tcPr>
            <w:tcW w:w="1743" w:type="dxa"/>
            <w:shd w:val="clear" w:color="auto" w:fill="auto"/>
          </w:tcPr>
          <w:p w14:paraId="04F05AA5" w14:textId="77777777" w:rsidR="00D41241" w:rsidRDefault="00D41241" w:rsidP="00B6013D">
            <w:r>
              <w:t xml:space="preserve">No Evaluation </w:t>
            </w:r>
          </w:p>
          <w:p w14:paraId="13D20CFD" w14:textId="77777777" w:rsidR="00D41241" w:rsidRDefault="00D41241" w:rsidP="00B6013D">
            <w:pPr>
              <w:rPr>
                <w:lang w:val="en"/>
              </w:rPr>
            </w:pPr>
          </w:p>
        </w:tc>
      </w:tr>
    </w:tbl>
    <w:p w14:paraId="172C75C9" w14:textId="01F130FA" w:rsidR="00D41241" w:rsidRDefault="00D41241" w:rsidP="00D41241"/>
    <w:p w14:paraId="1CF0A0F8" w14:textId="77777777" w:rsidR="00192655" w:rsidRDefault="00192655" w:rsidP="00D41241"/>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28"/>
        <w:gridCol w:w="5702"/>
        <w:gridCol w:w="3801"/>
        <w:gridCol w:w="1743"/>
      </w:tblGrid>
      <w:tr w:rsidR="00800AEE" w:rsidRPr="002B22A8" w14:paraId="67B1BDF8" w14:textId="049BD46F" w:rsidTr="0045389A">
        <w:tc>
          <w:tcPr>
            <w:tcW w:w="2929" w:type="dxa"/>
            <w:shd w:val="clear" w:color="auto" w:fill="D9D9D9" w:themeFill="background1" w:themeFillShade="D9"/>
          </w:tcPr>
          <w:p w14:paraId="345AACB0" w14:textId="77777777" w:rsidR="008C1B4B" w:rsidRDefault="008C1B4B" w:rsidP="00800AEE">
            <w:pPr>
              <w:rPr>
                <w:b/>
                <w:color w:val="002060"/>
              </w:rPr>
            </w:pPr>
          </w:p>
          <w:p w14:paraId="1FAF5EE3" w14:textId="42398972" w:rsidR="00800AEE" w:rsidRPr="002B22A8" w:rsidRDefault="00800AEE" w:rsidP="00800AEE">
            <w:pPr>
              <w:rPr>
                <w:rFonts w:eastAsia="Times New Roman"/>
                <w:color w:val="000000"/>
                <w:spacing w:val="2"/>
              </w:rPr>
            </w:pPr>
            <w:r>
              <w:rPr>
                <w:b/>
                <w:color w:val="002060"/>
              </w:rPr>
              <w:t>Northern Territory</w:t>
            </w:r>
          </w:p>
          <w:p w14:paraId="057F77C5" w14:textId="77777777" w:rsidR="00800AEE" w:rsidRDefault="00800AEE" w:rsidP="00800AEE">
            <w:pPr>
              <w:rPr>
                <w:rFonts w:eastAsia="Times New Roman"/>
                <w:color w:val="000000"/>
                <w:spacing w:val="2"/>
              </w:rPr>
            </w:pPr>
          </w:p>
          <w:p w14:paraId="25D7ED27" w14:textId="4527088A" w:rsidR="00800AEE" w:rsidRPr="002B22A8" w:rsidRDefault="00800AEE" w:rsidP="00800AEE">
            <w:pPr>
              <w:rPr>
                <w:rFonts w:eastAsia="Times New Roman"/>
                <w:color w:val="000000"/>
                <w:spacing w:val="2"/>
              </w:rPr>
            </w:pPr>
          </w:p>
        </w:tc>
        <w:tc>
          <w:tcPr>
            <w:tcW w:w="11246" w:type="dxa"/>
            <w:gridSpan w:val="3"/>
            <w:shd w:val="clear" w:color="auto" w:fill="F2F2F2" w:themeFill="background1" w:themeFillShade="F2"/>
          </w:tcPr>
          <w:p w14:paraId="08DAD71F" w14:textId="77777777" w:rsidR="00192655" w:rsidRDefault="00192655" w:rsidP="00800AEE"/>
          <w:p w14:paraId="0E900746" w14:textId="1F292771" w:rsidR="00800AEE" w:rsidRPr="00192655" w:rsidRDefault="008C1B4B" w:rsidP="00800AEE">
            <w:r w:rsidRPr="00192655">
              <w:rPr>
                <w:color w:val="202020"/>
                <w:spacing w:val="-3"/>
              </w:rPr>
              <w:t>Strategy Focus</w:t>
            </w:r>
            <w:r w:rsidRPr="00192655">
              <w:t xml:space="preserve">: </w:t>
            </w:r>
            <w:r w:rsidR="00800AEE" w:rsidRPr="00192655">
              <w:t xml:space="preserve">Working with and through community networks.  </w:t>
            </w:r>
          </w:p>
          <w:p w14:paraId="1365E444" w14:textId="77777777" w:rsidR="00800AEE" w:rsidRDefault="00800AEE" w:rsidP="00800AEE">
            <w:r w:rsidRPr="00192655">
              <w:t>Key focus on supporting vulnerable groups and Aboriginal and Torres Strait Islander children in particular to participate</w:t>
            </w:r>
            <w:r w:rsidRPr="00961318">
              <w:t xml:space="preserve"> </w:t>
            </w:r>
          </w:p>
          <w:p w14:paraId="69316290" w14:textId="0DD3DA2F" w:rsidR="0045389A" w:rsidRPr="002B22A8" w:rsidRDefault="0045389A" w:rsidP="00800AEE">
            <w:pPr>
              <w:rPr>
                <w:rFonts w:eastAsia="Times New Roman"/>
                <w:color w:val="000000"/>
                <w:spacing w:val="2"/>
              </w:rPr>
            </w:pPr>
          </w:p>
        </w:tc>
      </w:tr>
      <w:tr w:rsidR="00800AEE" w:rsidRPr="00961318" w14:paraId="35E4E436" w14:textId="77777777" w:rsidTr="0045389A">
        <w:trPr>
          <w:tblHeader/>
        </w:trPr>
        <w:tc>
          <w:tcPr>
            <w:tcW w:w="2929" w:type="dxa"/>
            <w:tcBorders>
              <w:top w:val="single" w:sz="4" w:space="0" w:color="auto"/>
              <w:left w:val="single" w:sz="4" w:space="0" w:color="auto"/>
            </w:tcBorders>
            <w:shd w:val="clear" w:color="auto" w:fill="auto"/>
          </w:tcPr>
          <w:p w14:paraId="28D1B3E7" w14:textId="77777777" w:rsidR="00800AEE" w:rsidRPr="00961318" w:rsidRDefault="00800AEE" w:rsidP="00800AEE">
            <w:pPr>
              <w:rPr>
                <w:b/>
                <w:color w:val="002060"/>
              </w:rPr>
            </w:pPr>
            <w:r w:rsidRPr="00961318">
              <w:rPr>
                <w:b/>
                <w:color w:val="002060"/>
              </w:rPr>
              <w:t>Program or initiative</w:t>
            </w:r>
          </w:p>
        </w:tc>
        <w:tc>
          <w:tcPr>
            <w:tcW w:w="5702" w:type="dxa"/>
            <w:tcBorders>
              <w:top w:val="single" w:sz="4" w:space="0" w:color="auto"/>
            </w:tcBorders>
            <w:shd w:val="clear" w:color="auto" w:fill="auto"/>
          </w:tcPr>
          <w:p w14:paraId="0FEF7279" w14:textId="77777777" w:rsidR="00800AEE" w:rsidRPr="00961318" w:rsidRDefault="00800AEE" w:rsidP="00800AEE">
            <w:pPr>
              <w:rPr>
                <w:b/>
                <w:color w:val="002060"/>
              </w:rPr>
            </w:pPr>
            <w:r>
              <w:rPr>
                <w:b/>
                <w:color w:val="002060"/>
              </w:rPr>
              <w:t xml:space="preserve">Details </w:t>
            </w:r>
          </w:p>
        </w:tc>
        <w:tc>
          <w:tcPr>
            <w:tcW w:w="3801" w:type="dxa"/>
            <w:shd w:val="clear" w:color="auto" w:fill="auto"/>
          </w:tcPr>
          <w:p w14:paraId="70073F5B" w14:textId="77777777" w:rsidR="00800AEE" w:rsidRPr="00961318" w:rsidRDefault="00800AEE" w:rsidP="00800AEE">
            <w:pPr>
              <w:rPr>
                <w:b/>
                <w:color w:val="002060"/>
              </w:rPr>
            </w:pPr>
            <w:r w:rsidRPr="00961318">
              <w:rPr>
                <w:b/>
                <w:color w:val="002060"/>
              </w:rPr>
              <w:t>Key drivers</w:t>
            </w:r>
          </w:p>
        </w:tc>
        <w:tc>
          <w:tcPr>
            <w:tcW w:w="1743" w:type="dxa"/>
          </w:tcPr>
          <w:p w14:paraId="61167720" w14:textId="77777777" w:rsidR="00800AEE" w:rsidRPr="00961318" w:rsidRDefault="00800AEE" w:rsidP="00800AEE">
            <w:pPr>
              <w:rPr>
                <w:b/>
                <w:color w:val="002060"/>
              </w:rPr>
            </w:pPr>
            <w:r>
              <w:rPr>
                <w:b/>
                <w:color w:val="002060"/>
              </w:rPr>
              <w:t>Evaluation?</w:t>
            </w:r>
          </w:p>
        </w:tc>
      </w:tr>
      <w:tr w:rsidR="00800AEE" w14:paraId="7D744D88" w14:textId="77777777" w:rsidTr="00F97072">
        <w:trPr>
          <w:trHeight w:val="534"/>
        </w:trPr>
        <w:tc>
          <w:tcPr>
            <w:tcW w:w="2929" w:type="dxa"/>
            <w:shd w:val="clear" w:color="auto" w:fill="auto"/>
          </w:tcPr>
          <w:p w14:paraId="42F7F850" w14:textId="4BA51615" w:rsidR="00800AEE" w:rsidRPr="00961318" w:rsidRDefault="00800AEE" w:rsidP="005C1C35">
            <w:pPr>
              <w:rPr>
                <w:i/>
                <w:color w:val="000000"/>
              </w:rPr>
            </w:pPr>
            <w:r w:rsidRPr="00961318">
              <w:rPr>
                <w:i/>
              </w:rPr>
              <w:t>Families as First Teachers (FaFT)</w:t>
            </w:r>
          </w:p>
        </w:tc>
        <w:tc>
          <w:tcPr>
            <w:tcW w:w="5702" w:type="dxa"/>
            <w:shd w:val="clear" w:color="auto" w:fill="auto"/>
          </w:tcPr>
          <w:p w14:paraId="3DFDDF51" w14:textId="77777777" w:rsidR="00800AEE" w:rsidRPr="00961318" w:rsidRDefault="00800AEE" w:rsidP="00800AEE">
            <w:r w:rsidRPr="00961318">
              <w:t>FaFT is an early learning and family support program for children aged birth to 4 years of age and their families/ carers</w:t>
            </w:r>
          </w:p>
        </w:tc>
        <w:tc>
          <w:tcPr>
            <w:tcW w:w="3801" w:type="dxa"/>
            <w:shd w:val="clear" w:color="auto" w:fill="auto"/>
          </w:tcPr>
          <w:p w14:paraId="23B8A1FD" w14:textId="5B3614DF" w:rsidR="00E37FB3" w:rsidRPr="00E52617" w:rsidRDefault="00800AEE" w:rsidP="00F97072">
            <w:pPr>
              <w:rPr>
                <w:lang w:val="en-US"/>
              </w:rPr>
            </w:pPr>
            <w:r>
              <w:rPr>
                <w:lang w:val="en-US"/>
              </w:rPr>
              <w:t xml:space="preserve">FaFT sets a solid foundation for future education through the delivery of </w:t>
            </w:r>
            <w:r w:rsidRPr="007F2E37">
              <w:rPr>
                <w:lang w:val="en-US"/>
              </w:rPr>
              <w:t>quality child centered early learning</w:t>
            </w:r>
            <w:r>
              <w:rPr>
                <w:lang w:val="en-US"/>
              </w:rPr>
              <w:t xml:space="preserve"> that builds parent capacity; encourages literacy and numeracy at home and fosters the transition to preschool.</w:t>
            </w:r>
          </w:p>
        </w:tc>
        <w:tc>
          <w:tcPr>
            <w:tcW w:w="1743" w:type="dxa"/>
            <w:shd w:val="clear" w:color="auto" w:fill="auto"/>
          </w:tcPr>
          <w:p w14:paraId="7D2B33EF" w14:textId="77777777" w:rsidR="00800AEE" w:rsidRDefault="00800AEE" w:rsidP="00800AEE">
            <w:r w:rsidRPr="00961318">
              <w:t xml:space="preserve">Indigenous Education Strategy Evaluation currently underway </w:t>
            </w:r>
          </w:p>
        </w:tc>
      </w:tr>
      <w:tr w:rsidR="00800AEE" w14:paraId="6EBF920B" w14:textId="77777777" w:rsidTr="00F97072">
        <w:trPr>
          <w:trHeight w:val="1524"/>
        </w:trPr>
        <w:tc>
          <w:tcPr>
            <w:tcW w:w="2929" w:type="dxa"/>
            <w:shd w:val="clear" w:color="auto" w:fill="auto"/>
          </w:tcPr>
          <w:p w14:paraId="71CF6865" w14:textId="77777777" w:rsidR="00800AEE" w:rsidRPr="00961318" w:rsidRDefault="00800AEE" w:rsidP="00800AEE">
            <w:pPr>
              <w:rPr>
                <w:i/>
              </w:rPr>
            </w:pPr>
            <w:r w:rsidRPr="00961318">
              <w:rPr>
                <w:i/>
              </w:rPr>
              <w:t>Families as First Teachers – Stay Play Learn (FaFT-SPL)</w:t>
            </w:r>
          </w:p>
        </w:tc>
        <w:tc>
          <w:tcPr>
            <w:tcW w:w="5702" w:type="dxa"/>
            <w:shd w:val="clear" w:color="auto" w:fill="auto"/>
          </w:tcPr>
          <w:p w14:paraId="3CE4CCA0" w14:textId="77777777" w:rsidR="00800AEE" w:rsidRPr="00961318" w:rsidRDefault="00800AEE" w:rsidP="00800AEE">
            <w:r w:rsidRPr="00961318">
              <w:t xml:space="preserve">FaFT-SPL </w:t>
            </w:r>
            <w:r>
              <w:t xml:space="preserve">combines the FaFT and preschool programs in small very remote communities to ensure children in those communities have access to quality early learning programs. </w:t>
            </w:r>
          </w:p>
        </w:tc>
        <w:tc>
          <w:tcPr>
            <w:tcW w:w="3801" w:type="dxa"/>
            <w:shd w:val="clear" w:color="auto" w:fill="auto"/>
          </w:tcPr>
          <w:p w14:paraId="308AD930" w14:textId="77777777" w:rsidR="00800AEE" w:rsidRDefault="00800AEE" w:rsidP="00F97072">
            <w:pPr>
              <w:rPr>
                <w:lang w:val="en-US"/>
              </w:rPr>
            </w:pPr>
            <w:r>
              <w:t xml:space="preserve">The delivery of quality early learning programs for children aged 0-5 and their families based on the Abecedarian Approach Australia that combines the FaFT program and preschool. </w:t>
            </w:r>
          </w:p>
        </w:tc>
        <w:tc>
          <w:tcPr>
            <w:tcW w:w="1743" w:type="dxa"/>
            <w:shd w:val="clear" w:color="auto" w:fill="auto"/>
          </w:tcPr>
          <w:p w14:paraId="59BACFB7" w14:textId="22CF9F9A" w:rsidR="00800AEE" w:rsidRPr="00961318" w:rsidRDefault="00800AEE" w:rsidP="00800AEE">
            <w:r w:rsidRPr="00961318">
              <w:t>Indigenous Education Strategy Evaluation currently underway</w:t>
            </w:r>
          </w:p>
        </w:tc>
      </w:tr>
    </w:tbl>
    <w:p w14:paraId="4652A5C9" w14:textId="6CBEC7E2" w:rsidR="00D41241" w:rsidRPr="00F82786" w:rsidRDefault="00D41241" w:rsidP="00D41241">
      <w:pPr>
        <w:rPr>
          <w:sz w:val="8"/>
          <w:szCs w:val="8"/>
        </w:rPr>
      </w:pPr>
    </w:p>
    <w:p w14:paraId="6E071AFD" w14:textId="77777777" w:rsidR="00192655" w:rsidRDefault="00192655" w:rsidP="00D41241"/>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12"/>
        <w:gridCol w:w="5692"/>
        <w:gridCol w:w="3802"/>
        <w:gridCol w:w="1744"/>
      </w:tblGrid>
      <w:tr w:rsidR="00800AEE" w:rsidRPr="002B22A8" w14:paraId="230BF890" w14:textId="18D9F82B" w:rsidTr="009B27CD">
        <w:tc>
          <w:tcPr>
            <w:tcW w:w="2937" w:type="dxa"/>
            <w:gridSpan w:val="2"/>
            <w:shd w:val="clear" w:color="auto" w:fill="D9D9D9" w:themeFill="background1" w:themeFillShade="D9"/>
          </w:tcPr>
          <w:p w14:paraId="56523D14" w14:textId="77777777" w:rsidR="008C1B4B" w:rsidRDefault="008C1B4B" w:rsidP="00B6013D">
            <w:pPr>
              <w:rPr>
                <w:b/>
                <w:color w:val="002060"/>
              </w:rPr>
            </w:pPr>
          </w:p>
          <w:p w14:paraId="6BAED82C" w14:textId="344BADAB" w:rsidR="00800AEE" w:rsidRPr="002B22A8" w:rsidRDefault="00800AEE" w:rsidP="00B6013D">
            <w:pPr>
              <w:rPr>
                <w:rFonts w:eastAsia="Times New Roman"/>
                <w:color w:val="000000"/>
                <w:spacing w:val="2"/>
              </w:rPr>
            </w:pPr>
            <w:r>
              <w:rPr>
                <w:b/>
                <w:color w:val="002060"/>
              </w:rPr>
              <w:t>Queensland</w:t>
            </w:r>
          </w:p>
          <w:p w14:paraId="2DA80D1E" w14:textId="77777777" w:rsidR="00800AEE" w:rsidRPr="002B22A8" w:rsidRDefault="00800AEE" w:rsidP="00B6013D">
            <w:pPr>
              <w:rPr>
                <w:rFonts w:eastAsia="Times New Roman"/>
                <w:color w:val="000000"/>
                <w:spacing w:val="2"/>
              </w:rPr>
            </w:pPr>
          </w:p>
        </w:tc>
        <w:tc>
          <w:tcPr>
            <w:tcW w:w="11238" w:type="dxa"/>
            <w:gridSpan w:val="3"/>
            <w:shd w:val="clear" w:color="auto" w:fill="F2F2F2" w:themeFill="background1" w:themeFillShade="F2"/>
          </w:tcPr>
          <w:p w14:paraId="36846276" w14:textId="77777777" w:rsidR="008C1B4B" w:rsidRDefault="008C1B4B" w:rsidP="00B6013D">
            <w:pPr>
              <w:rPr>
                <w:rFonts w:cs="Calibri"/>
              </w:rPr>
            </w:pPr>
          </w:p>
          <w:p w14:paraId="7C1D3F45" w14:textId="7FD84A24" w:rsidR="00800AEE" w:rsidRDefault="008C1B4B" w:rsidP="00B6013D">
            <w:pPr>
              <w:rPr>
                <w:rFonts w:cs="Segoe UI"/>
                <w:lang w:val="en"/>
              </w:rPr>
            </w:pPr>
            <w:r w:rsidRPr="00192655">
              <w:rPr>
                <w:color w:val="202020"/>
                <w:spacing w:val="-3"/>
              </w:rPr>
              <w:t>Strategy Focus</w:t>
            </w:r>
            <w:r w:rsidRPr="00192655">
              <w:rPr>
                <w:rFonts w:cs="Calibri"/>
              </w:rPr>
              <w:t xml:space="preserve">: </w:t>
            </w:r>
            <w:r w:rsidR="00800AEE" w:rsidRPr="00192655">
              <w:rPr>
                <w:rFonts w:cs="Calibri"/>
              </w:rPr>
              <w:t xml:space="preserve">Universal and targeted access approach with preschool services delivered through </w:t>
            </w:r>
            <w:r w:rsidR="00800AEE" w:rsidRPr="00192655">
              <w:rPr>
                <w:rFonts w:cs="Segoe UI"/>
                <w:lang w:val="en"/>
              </w:rPr>
              <w:t>long day care services and stand-alone kindergarten services. The Queensland Government also delivers kindergarten programs via the eKindy and kinder</w:t>
            </w:r>
            <w:r w:rsidR="00800AEE" w:rsidRPr="00B21E12">
              <w:rPr>
                <w:rFonts w:cs="Segoe UI"/>
                <w:lang w:val="en"/>
              </w:rPr>
              <w:t>garten in remote communities’ initiatives</w:t>
            </w:r>
            <w:r w:rsidR="00800AEE">
              <w:rPr>
                <w:rFonts w:cs="Segoe UI"/>
                <w:lang w:val="en"/>
              </w:rPr>
              <w:t xml:space="preserve">. </w:t>
            </w:r>
            <w:r w:rsidR="00800AEE" w:rsidRPr="00B21E12">
              <w:rPr>
                <w:rFonts w:cs="Segoe UI"/>
                <w:lang w:val="en"/>
              </w:rPr>
              <w:t>Key focus on engaging vulnerable families, including Aboriginal and Torres Strait Islander families</w:t>
            </w:r>
            <w:r w:rsidR="00800AEE">
              <w:rPr>
                <w:rFonts w:cs="Segoe UI"/>
                <w:lang w:val="en"/>
              </w:rPr>
              <w:t>.</w:t>
            </w:r>
          </w:p>
          <w:p w14:paraId="7D123E98" w14:textId="3427F636" w:rsidR="008C1B4B" w:rsidRPr="002B22A8" w:rsidRDefault="008C1B4B" w:rsidP="00B6013D">
            <w:pPr>
              <w:rPr>
                <w:rFonts w:eastAsia="Times New Roman"/>
                <w:color w:val="000000"/>
                <w:spacing w:val="2"/>
              </w:rPr>
            </w:pPr>
          </w:p>
        </w:tc>
      </w:tr>
      <w:tr w:rsidR="00D41241" w:rsidRPr="00961318" w14:paraId="2E5F1FCE" w14:textId="77777777" w:rsidTr="009B27CD">
        <w:tc>
          <w:tcPr>
            <w:tcW w:w="2925" w:type="dxa"/>
            <w:shd w:val="clear" w:color="auto" w:fill="auto"/>
          </w:tcPr>
          <w:p w14:paraId="1D4B7CCA" w14:textId="77777777" w:rsidR="00D41241" w:rsidRPr="00C93A07" w:rsidRDefault="00D41241" w:rsidP="00B6013D">
            <w:pPr>
              <w:rPr>
                <w:i/>
              </w:rPr>
            </w:pPr>
            <w:r w:rsidRPr="00C93A07">
              <w:rPr>
                <w:i/>
              </w:rPr>
              <w:t xml:space="preserve">The Refugee and Asylum Seeker Early Childhood Pilot </w:t>
            </w:r>
          </w:p>
        </w:tc>
        <w:tc>
          <w:tcPr>
            <w:tcW w:w="5704" w:type="dxa"/>
            <w:gridSpan w:val="2"/>
            <w:shd w:val="clear" w:color="auto" w:fill="auto"/>
          </w:tcPr>
          <w:p w14:paraId="73FF0801" w14:textId="77777777" w:rsidR="00D41241" w:rsidRDefault="00D41241" w:rsidP="00B6013D">
            <w:r w:rsidRPr="00F606F2">
              <w:t>Supports children and families from refugee and asylum seeker backgrounds to participate in kindergarten and other early learning opportunities. The pilot provides kindergarten fee subsidies and enrolment support, access to ‘soft entry’ playgroup programs for families, and delivers professional development to support kindergarten services to be more culturally inclusive and trauma informed.</w:t>
            </w:r>
          </w:p>
        </w:tc>
        <w:tc>
          <w:tcPr>
            <w:tcW w:w="3802" w:type="dxa"/>
            <w:shd w:val="clear" w:color="auto" w:fill="auto"/>
          </w:tcPr>
          <w:p w14:paraId="19E2F82A" w14:textId="77777777" w:rsidR="00D41241" w:rsidRDefault="00D41241" w:rsidP="00B6013D">
            <w:pPr>
              <w:rPr>
                <w:lang w:val="en"/>
              </w:rPr>
            </w:pPr>
            <w:r w:rsidRPr="00F606F2">
              <w:t xml:space="preserve">The Refugee and Asylum Seeker Early Childhood Pilot </w:t>
            </w:r>
          </w:p>
        </w:tc>
        <w:tc>
          <w:tcPr>
            <w:tcW w:w="1744" w:type="dxa"/>
            <w:shd w:val="clear" w:color="auto" w:fill="auto"/>
          </w:tcPr>
          <w:p w14:paraId="33572904" w14:textId="77777777" w:rsidR="00D41241" w:rsidRDefault="00D41241" w:rsidP="00B6013D">
            <w:r>
              <w:t xml:space="preserve">No Evaluation </w:t>
            </w:r>
          </w:p>
          <w:p w14:paraId="31CD5C6A" w14:textId="77777777" w:rsidR="00D41241" w:rsidRDefault="00D41241" w:rsidP="00B6013D"/>
        </w:tc>
      </w:tr>
      <w:tr w:rsidR="00D41241" w:rsidRPr="00976AC9" w14:paraId="5683C750" w14:textId="77777777" w:rsidTr="009B27CD">
        <w:tc>
          <w:tcPr>
            <w:tcW w:w="2925" w:type="dxa"/>
            <w:shd w:val="clear" w:color="auto" w:fill="auto"/>
          </w:tcPr>
          <w:p w14:paraId="0AEDD63A" w14:textId="13403D14" w:rsidR="00D41241" w:rsidRPr="00800AEE" w:rsidRDefault="00D41241" w:rsidP="00B6013D">
            <w:pPr>
              <w:rPr>
                <w:rFonts w:cs="Calibri"/>
                <w:i/>
              </w:rPr>
            </w:pPr>
            <w:r>
              <w:rPr>
                <w:rFonts w:cs="Calibri"/>
                <w:i/>
              </w:rPr>
              <w:t xml:space="preserve">Let’s Yarn about Early Learning, sharing stories from communities, families and Elders, including the </w:t>
            </w:r>
            <w:r w:rsidRPr="00B21E12">
              <w:rPr>
                <w:rFonts w:cs="Calibri"/>
                <w:i/>
              </w:rPr>
              <w:t>Elders as Story Tellers</w:t>
            </w:r>
            <w:r>
              <w:rPr>
                <w:rFonts w:cs="Calibri"/>
                <w:i/>
              </w:rPr>
              <w:t xml:space="preserve"> social marketing campaign</w:t>
            </w:r>
          </w:p>
        </w:tc>
        <w:tc>
          <w:tcPr>
            <w:tcW w:w="5704" w:type="dxa"/>
            <w:gridSpan w:val="2"/>
            <w:shd w:val="clear" w:color="auto" w:fill="auto"/>
          </w:tcPr>
          <w:p w14:paraId="6140264A" w14:textId="77777777" w:rsidR="00D41241" w:rsidRPr="00B21E12" w:rsidRDefault="00D41241" w:rsidP="00B6013D">
            <w:pPr>
              <w:rPr>
                <w:rFonts w:cs="Calibri"/>
              </w:rPr>
            </w:pPr>
            <w:r w:rsidRPr="00B21E12">
              <w:rPr>
                <w:rFonts w:cs="Calibri"/>
              </w:rPr>
              <w:t>Eld</w:t>
            </w:r>
            <w:r>
              <w:rPr>
                <w:rFonts w:cs="Calibri"/>
              </w:rPr>
              <w:t>ers and community leaders share</w:t>
            </w:r>
            <w:r w:rsidRPr="00B21E12">
              <w:rPr>
                <w:rFonts w:cs="Calibri"/>
              </w:rPr>
              <w:t xml:space="preserve"> the importance of learning, culture, language and identity in the early years. This is done through videos, radio ads, articles and photos</w:t>
            </w:r>
          </w:p>
        </w:tc>
        <w:tc>
          <w:tcPr>
            <w:tcW w:w="3802" w:type="dxa"/>
            <w:shd w:val="clear" w:color="auto" w:fill="auto"/>
          </w:tcPr>
          <w:p w14:paraId="7509E010" w14:textId="77777777" w:rsidR="00D41241" w:rsidRPr="00B21E12" w:rsidRDefault="00D41241" w:rsidP="00B6013D">
            <w:pPr>
              <w:rPr>
                <w:rFonts w:cs="Calibri"/>
              </w:rPr>
            </w:pPr>
            <w:r w:rsidRPr="00B21E12">
              <w:rPr>
                <w:rFonts w:cs="Calibri"/>
              </w:rPr>
              <w:t>To increase kindergarten participation rate for Aboriginal and Torres Strait Islander children</w:t>
            </w:r>
            <w:r>
              <w:rPr>
                <w:rFonts w:cs="Calibri"/>
              </w:rPr>
              <w:t xml:space="preserve"> and set children up for a lifetime of learning</w:t>
            </w:r>
          </w:p>
        </w:tc>
        <w:tc>
          <w:tcPr>
            <w:tcW w:w="1744" w:type="dxa"/>
            <w:shd w:val="clear" w:color="auto" w:fill="auto"/>
          </w:tcPr>
          <w:p w14:paraId="16E5B755" w14:textId="77777777" w:rsidR="00D41241" w:rsidRDefault="00D41241" w:rsidP="00B6013D">
            <w:pPr>
              <w:rPr>
                <w:rFonts w:cstheme="minorHAnsi"/>
              </w:rPr>
            </w:pPr>
            <w:r>
              <w:rPr>
                <w:rFonts w:cstheme="minorHAnsi"/>
              </w:rPr>
              <w:t>New program</w:t>
            </w:r>
          </w:p>
          <w:p w14:paraId="05B6F28D" w14:textId="77777777" w:rsidR="00D41241" w:rsidRPr="00C93A07" w:rsidRDefault="00D41241" w:rsidP="00B6013D">
            <w:pPr>
              <w:rPr>
                <w:rFonts w:cstheme="minorHAnsi"/>
              </w:rPr>
            </w:pPr>
            <w:r>
              <w:rPr>
                <w:rFonts w:cstheme="minorHAnsi"/>
              </w:rPr>
              <w:t xml:space="preserve">Not yet evaluated </w:t>
            </w:r>
          </w:p>
        </w:tc>
      </w:tr>
      <w:tr w:rsidR="00D41241" w:rsidRPr="00976AC9" w14:paraId="2AF374F4" w14:textId="77777777" w:rsidTr="009B27CD">
        <w:tc>
          <w:tcPr>
            <w:tcW w:w="2925" w:type="dxa"/>
            <w:shd w:val="clear" w:color="auto" w:fill="auto"/>
          </w:tcPr>
          <w:p w14:paraId="18823BD4" w14:textId="77777777" w:rsidR="00D41241" w:rsidRPr="00B21E12" w:rsidRDefault="00D41241" w:rsidP="00B6013D">
            <w:pPr>
              <w:rPr>
                <w:rFonts w:cs="Calibri"/>
                <w:i/>
              </w:rPr>
            </w:pPr>
            <w:r w:rsidRPr="00B21E12">
              <w:rPr>
                <w:rFonts w:cs="Calibri"/>
                <w:i/>
              </w:rPr>
              <w:t>Deadly Kindies Campaign</w:t>
            </w:r>
          </w:p>
        </w:tc>
        <w:tc>
          <w:tcPr>
            <w:tcW w:w="5704" w:type="dxa"/>
            <w:gridSpan w:val="2"/>
            <w:shd w:val="clear" w:color="auto" w:fill="auto"/>
          </w:tcPr>
          <w:p w14:paraId="573DFFD8" w14:textId="77777777" w:rsidR="00D41241" w:rsidRPr="00B21E12" w:rsidRDefault="00D41241" w:rsidP="00B6013D">
            <w:pPr>
              <w:rPr>
                <w:rFonts w:cs="Calibri"/>
              </w:rPr>
            </w:pPr>
            <w:r w:rsidRPr="00B21E12">
              <w:rPr>
                <w:rFonts w:cs="Calibri"/>
              </w:rPr>
              <w:t xml:space="preserve">Encourages </w:t>
            </w:r>
            <w:r>
              <w:rPr>
                <w:rFonts w:cs="Calibri"/>
              </w:rPr>
              <w:t>children and their families’ access to allied health services and health checks, and provides a range of promotional materials and resources to assist parents to enrol their child in kindergarten.</w:t>
            </w:r>
          </w:p>
        </w:tc>
        <w:tc>
          <w:tcPr>
            <w:tcW w:w="3802" w:type="dxa"/>
            <w:shd w:val="clear" w:color="auto" w:fill="auto"/>
          </w:tcPr>
          <w:p w14:paraId="008CD46B" w14:textId="77777777" w:rsidR="00D41241" w:rsidRPr="00B21E12" w:rsidRDefault="00D41241" w:rsidP="00B6013D">
            <w:pPr>
              <w:rPr>
                <w:rFonts w:cs="Calibri"/>
              </w:rPr>
            </w:pPr>
            <w:r w:rsidRPr="00B21E12">
              <w:rPr>
                <w:rFonts w:cs="Calibri"/>
              </w:rPr>
              <w:t xml:space="preserve">To highlight the importance of </w:t>
            </w:r>
            <w:r>
              <w:rPr>
                <w:rFonts w:cs="Calibri"/>
              </w:rPr>
              <w:t xml:space="preserve">healthy children and early years learning and increase </w:t>
            </w:r>
            <w:r w:rsidRPr="00B21E12">
              <w:rPr>
                <w:rFonts w:cs="Calibri"/>
              </w:rPr>
              <w:t xml:space="preserve">Kindergarten </w:t>
            </w:r>
            <w:r>
              <w:rPr>
                <w:rFonts w:cs="Calibri"/>
              </w:rPr>
              <w:t>participation.</w:t>
            </w:r>
          </w:p>
        </w:tc>
        <w:tc>
          <w:tcPr>
            <w:tcW w:w="1744" w:type="dxa"/>
            <w:shd w:val="clear" w:color="auto" w:fill="auto"/>
          </w:tcPr>
          <w:p w14:paraId="35BDC345" w14:textId="77777777" w:rsidR="00D41241" w:rsidRDefault="00D41241" w:rsidP="00B6013D">
            <w:r>
              <w:t xml:space="preserve">No Evaluation </w:t>
            </w:r>
          </w:p>
          <w:p w14:paraId="4BF902F6" w14:textId="77777777" w:rsidR="00D41241" w:rsidRPr="00976AC9" w:rsidRDefault="00D41241" w:rsidP="00B6013D">
            <w:pPr>
              <w:ind w:left="216"/>
            </w:pPr>
          </w:p>
        </w:tc>
      </w:tr>
      <w:tr w:rsidR="00D41241" w:rsidRPr="00D45D29" w14:paraId="406797FC" w14:textId="77777777" w:rsidTr="009B27CD">
        <w:tc>
          <w:tcPr>
            <w:tcW w:w="2925" w:type="dxa"/>
            <w:shd w:val="clear" w:color="auto" w:fill="auto"/>
          </w:tcPr>
          <w:p w14:paraId="58DA8975" w14:textId="77777777" w:rsidR="00D41241" w:rsidRPr="00D45D29" w:rsidRDefault="00D41241" w:rsidP="00B6013D">
            <w:pPr>
              <w:rPr>
                <w:rFonts w:cs="Calibri"/>
                <w:i/>
              </w:rPr>
            </w:pPr>
            <w:r w:rsidRPr="00D45D29">
              <w:rPr>
                <w:rFonts w:cs="Calibri"/>
                <w:i/>
              </w:rPr>
              <w:t>eKindy</w:t>
            </w:r>
          </w:p>
        </w:tc>
        <w:tc>
          <w:tcPr>
            <w:tcW w:w="5704" w:type="dxa"/>
            <w:gridSpan w:val="2"/>
            <w:shd w:val="clear" w:color="auto" w:fill="auto"/>
          </w:tcPr>
          <w:p w14:paraId="4CF683C6" w14:textId="65FA9030" w:rsidR="00D41241" w:rsidRPr="00D45D29" w:rsidRDefault="00D41241" w:rsidP="005C1C35">
            <w:pPr>
              <w:rPr>
                <w:rFonts w:cs="Calibri"/>
              </w:rPr>
            </w:pPr>
            <w:r w:rsidRPr="00D45D29">
              <w:rPr>
                <w:rFonts w:cs="Calibri"/>
              </w:rPr>
              <w:t>Comprehensive 'at home' kindergarten program for children in the year before Prep who cannot easily access a centre-based program due to isolation, medical condition or itinerant family circumstance.</w:t>
            </w:r>
            <w:r w:rsidR="005C1C35">
              <w:rPr>
                <w:rFonts w:cs="Calibri"/>
              </w:rPr>
              <w:t xml:space="preserve">  </w:t>
            </w:r>
            <w:r w:rsidRPr="00D45D29">
              <w:rPr>
                <w:rFonts w:cs="Calibri"/>
              </w:rPr>
              <w:t>eKindy ‘pods’ enable children enrolled in eKindy to undertake part of the program in a supervised, small group setting (generally on a school site) providing peer-socialisation opportunities to the children.</w:t>
            </w:r>
          </w:p>
        </w:tc>
        <w:tc>
          <w:tcPr>
            <w:tcW w:w="3802" w:type="dxa"/>
            <w:shd w:val="clear" w:color="auto" w:fill="auto"/>
          </w:tcPr>
          <w:p w14:paraId="282A1E6B" w14:textId="77777777" w:rsidR="00D41241" w:rsidRPr="00D45D29" w:rsidRDefault="00D41241" w:rsidP="00B6013D">
            <w:pPr>
              <w:rPr>
                <w:rFonts w:cs="Calibri"/>
              </w:rPr>
            </w:pPr>
            <w:r w:rsidRPr="00D45D29">
              <w:rPr>
                <w:rFonts w:cs="Calibri"/>
              </w:rPr>
              <w:t>Access for vulnerable families</w:t>
            </w:r>
          </w:p>
        </w:tc>
        <w:tc>
          <w:tcPr>
            <w:tcW w:w="1744" w:type="dxa"/>
            <w:shd w:val="clear" w:color="auto" w:fill="auto"/>
          </w:tcPr>
          <w:p w14:paraId="72DDC064" w14:textId="77777777" w:rsidR="00D41241" w:rsidRDefault="00D41241" w:rsidP="00B6013D">
            <w:r>
              <w:t xml:space="preserve">No Evaluation </w:t>
            </w:r>
          </w:p>
          <w:p w14:paraId="402AAE25" w14:textId="77777777" w:rsidR="00D41241" w:rsidRPr="00D45D29" w:rsidRDefault="00D41241" w:rsidP="00B6013D">
            <w:pPr>
              <w:ind w:left="216"/>
            </w:pPr>
            <w:r w:rsidRPr="00D45D29">
              <w:t xml:space="preserve"> </w:t>
            </w:r>
          </w:p>
        </w:tc>
      </w:tr>
      <w:tr w:rsidR="00D41241" w:rsidRPr="00976AC9" w14:paraId="60A969C5" w14:textId="77777777" w:rsidTr="009B27CD">
        <w:tc>
          <w:tcPr>
            <w:tcW w:w="2925" w:type="dxa"/>
            <w:shd w:val="clear" w:color="auto" w:fill="auto"/>
          </w:tcPr>
          <w:p w14:paraId="613E7084" w14:textId="77777777" w:rsidR="00D41241" w:rsidRPr="00B21E12" w:rsidRDefault="00D41241" w:rsidP="00B6013D">
            <w:pPr>
              <w:rPr>
                <w:rFonts w:cs="Calibri"/>
                <w:i/>
              </w:rPr>
            </w:pPr>
            <w:r w:rsidRPr="00B21E12">
              <w:rPr>
                <w:rFonts w:cs="Calibri"/>
                <w:i/>
              </w:rPr>
              <w:t>Kindergarten in</w:t>
            </w:r>
            <w:r>
              <w:rPr>
                <w:rFonts w:cs="Calibri"/>
                <w:i/>
              </w:rPr>
              <w:t xml:space="preserve"> state schools including</w:t>
            </w:r>
            <w:r w:rsidRPr="00B21E12">
              <w:rPr>
                <w:rFonts w:cs="Calibri"/>
                <w:i/>
              </w:rPr>
              <w:t xml:space="preserve"> remote communities</w:t>
            </w:r>
          </w:p>
        </w:tc>
        <w:tc>
          <w:tcPr>
            <w:tcW w:w="5704" w:type="dxa"/>
            <w:gridSpan w:val="2"/>
            <w:shd w:val="clear" w:color="auto" w:fill="auto"/>
          </w:tcPr>
          <w:p w14:paraId="54BDBB15" w14:textId="4E8E7BEF" w:rsidR="00D41241" w:rsidRPr="00B21E12" w:rsidRDefault="00D41241" w:rsidP="005C1C35">
            <w:pPr>
              <w:jc w:val="both"/>
              <w:rPr>
                <w:rFonts w:cs="Calibri"/>
              </w:rPr>
            </w:pPr>
            <w:r w:rsidRPr="00B21E12">
              <w:rPr>
                <w:rFonts w:cs="Segoe UI"/>
                <w:lang w:val="en"/>
              </w:rPr>
              <w:t xml:space="preserve">Children in selected </w:t>
            </w:r>
            <w:r>
              <w:rPr>
                <w:rFonts w:cs="Segoe UI"/>
                <w:lang w:val="en"/>
              </w:rPr>
              <w:t xml:space="preserve">regional, </w:t>
            </w:r>
            <w:r w:rsidRPr="00B21E12">
              <w:rPr>
                <w:rFonts w:cs="Segoe UI"/>
                <w:lang w:val="en"/>
              </w:rPr>
              <w:t>remote</w:t>
            </w:r>
            <w:r>
              <w:rPr>
                <w:rFonts w:cs="Segoe UI"/>
                <w:lang w:val="en"/>
              </w:rPr>
              <w:t xml:space="preserve"> and Aboriginal and Torres Strait Islander communities </w:t>
            </w:r>
            <w:r w:rsidRPr="00B21E12">
              <w:rPr>
                <w:rFonts w:cs="Segoe UI"/>
                <w:lang w:val="en"/>
              </w:rPr>
              <w:t>can attend kindergarten at their local state school</w:t>
            </w:r>
            <w:r>
              <w:rPr>
                <w:rFonts w:cs="Segoe UI"/>
                <w:lang w:val="en"/>
              </w:rPr>
              <w:t xml:space="preserve"> in either a composite or non-composite setting</w:t>
            </w:r>
          </w:p>
        </w:tc>
        <w:tc>
          <w:tcPr>
            <w:tcW w:w="3802" w:type="dxa"/>
            <w:shd w:val="clear" w:color="auto" w:fill="auto"/>
          </w:tcPr>
          <w:p w14:paraId="0DBF083F" w14:textId="77777777" w:rsidR="00D41241" w:rsidRPr="00B21E12" w:rsidRDefault="00D41241" w:rsidP="00B6013D">
            <w:pPr>
              <w:rPr>
                <w:rFonts w:cs="Calibri"/>
              </w:rPr>
            </w:pPr>
            <w:r w:rsidRPr="00B21E12">
              <w:rPr>
                <w:rFonts w:cs="Calibri"/>
              </w:rPr>
              <w:t>Access for vulnerable families</w:t>
            </w:r>
            <w:r>
              <w:rPr>
                <w:rFonts w:cs="Calibri"/>
              </w:rPr>
              <w:t xml:space="preserve"> and areas of market failure.</w:t>
            </w:r>
          </w:p>
        </w:tc>
        <w:tc>
          <w:tcPr>
            <w:tcW w:w="1744" w:type="dxa"/>
            <w:shd w:val="clear" w:color="auto" w:fill="auto"/>
          </w:tcPr>
          <w:p w14:paraId="74AC16C6" w14:textId="77777777" w:rsidR="00D41241" w:rsidRDefault="00D41241" w:rsidP="00B6013D">
            <w:r>
              <w:t xml:space="preserve">No Evaluation </w:t>
            </w:r>
          </w:p>
          <w:p w14:paraId="08F2AB7C" w14:textId="77777777" w:rsidR="00D41241" w:rsidRPr="00976AC9" w:rsidRDefault="00D41241" w:rsidP="00B6013D">
            <w:pPr>
              <w:ind w:left="216"/>
            </w:pPr>
          </w:p>
        </w:tc>
      </w:tr>
      <w:tr w:rsidR="00D41241" w:rsidRPr="00967DDE" w14:paraId="1751675F" w14:textId="77777777" w:rsidTr="009B27CD">
        <w:tc>
          <w:tcPr>
            <w:tcW w:w="2925" w:type="dxa"/>
            <w:tcBorders>
              <w:top w:val="single" w:sz="4" w:space="0" w:color="auto"/>
              <w:left w:val="single" w:sz="4" w:space="0" w:color="auto"/>
              <w:bottom w:val="single" w:sz="4" w:space="0" w:color="auto"/>
              <w:right w:val="single" w:sz="4" w:space="0" w:color="auto"/>
            </w:tcBorders>
            <w:shd w:val="clear" w:color="auto" w:fill="auto"/>
          </w:tcPr>
          <w:p w14:paraId="5E4B8D78" w14:textId="77777777" w:rsidR="00D41241" w:rsidRPr="00C93A07" w:rsidRDefault="00D41241" w:rsidP="00B6013D">
            <w:pPr>
              <w:rPr>
                <w:i/>
              </w:rPr>
            </w:pPr>
            <w:r w:rsidRPr="00C93A07">
              <w:rPr>
                <w:i/>
              </w:rPr>
              <w:t>Queensland Kindergarten Funding Scheme</w:t>
            </w:r>
          </w:p>
          <w:p w14:paraId="137F2BCF" w14:textId="77777777" w:rsidR="00D41241" w:rsidRPr="00C93A07" w:rsidRDefault="00D41241" w:rsidP="00B6013D"/>
          <w:p w14:paraId="10C0574E" w14:textId="77777777" w:rsidR="00D41241" w:rsidRPr="00C93A07" w:rsidRDefault="00D41241" w:rsidP="00B6013D"/>
          <w:p w14:paraId="3DE1FA2B" w14:textId="77777777" w:rsidR="00D41241" w:rsidRPr="00C93A07" w:rsidRDefault="00D41241" w:rsidP="00B6013D"/>
        </w:tc>
        <w:tc>
          <w:tcPr>
            <w:tcW w:w="5704" w:type="dxa"/>
            <w:gridSpan w:val="2"/>
            <w:tcBorders>
              <w:top w:val="single" w:sz="4" w:space="0" w:color="auto"/>
              <w:left w:val="single" w:sz="4" w:space="0" w:color="auto"/>
              <w:bottom w:val="single" w:sz="4" w:space="0" w:color="auto"/>
              <w:right w:val="single" w:sz="4" w:space="0" w:color="auto"/>
            </w:tcBorders>
            <w:shd w:val="clear" w:color="auto" w:fill="auto"/>
          </w:tcPr>
          <w:p w14:paraId="21470B41" w14:textId="77777777" w:rsidR="00D41241" w:rsidRPr="00C93A07" w:rsidRDefault="00D41241" w:rsidP="00B6013D">
            <w:r w:rsidRPr="00C93A07">
              <w:t>Supports services with the cost of delivering an approved kindergarten program and to help ensure the cost of kindergarten is not a barrier for families.</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3D8788F7" w14:textId="77777777" w:rsidR="00D41241" w:rsidRPr="00C93A07" w:rsidRDefault="00D41241" w:rsidP="00B6013D">
            <w:r w:rsidRPr="00C93A07">
              <w:t>To increase kindergarten participation rate for all Queensland children, including Aboriginal and Torres Strait Islander children, children experiencing vulnerability and disadvantage.</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39E4918" w14:textId="2FF9167A" w:rsidR="00D41241" w:rsidRPr="00C93A07" w:rsidRDefault="00D41241" w:rsidP="00B6013D">
            <w:r w:rsidRPr="00C93A07">
              <w:t xml:space="preserve">Independent review of the Queensland Education </w:t>
            </w:r>
            <w:r w:rsidR="005C1C35">
              <w:t>ECE</w:t>
            </w:r>
            <w:r w:rsidRPr="00C93A07">
              <w:t xml:space="preserve"> funding and delivery arrangements underway</w:t>
            </w:r>
          </w:p>
          <w:p w14:paraId="3A66DDA2" w14:textId="577008A0" w:rsidR="00D41241" w:rsidRPr="00F97072" w:rsidRDefault="00BA469C" w:rsidP="00B6013D">
            <w:pPr>
              <w:rPr>
                <w:rFonts w:ascii="Segoe UI Symbol" w:hAnsi="Segoe UI Symbol" w:cs="Segoe UI Symbol"/>
                <w:sz w:val="16"/>
                <w:szCs w:val="16"/>
              </w:rPr>
            </w:pPr>
            <w:hyperlink r:id="rId27" w:history="1">
              <w:r w:rsidR="00D41241" w:rsidRPr="00F97072">
                <w:rPr>
                  <w:rStyle w:val="Hyperlink"/>
                  <w:rFonts w:ascii="Segoe UI Symbol" w:hAnsi="Segoe UI Symbol" w:cs="Segoe UI Symbol"/>
                  <w:sz w:val="16"/>
                  <w:szCs w:val="16"/>
                </w:rPr>
                <w:t>https://earlychildhood.qld.gov.au/funding-and-support/grants-tenders-and-funding/optimising-outcomes-for-children</w:t>
              </w:r>
            </w:hyperlink>
          </w:p>
        </w:tc>
      </w:tr>
      <w:tr w:rsidR="00D41241" w:rsidRPr="00961318" w14:paraId="485D455D" w14:textId="77777777" w:rsidTr="009B27CD">
        <w:tc>
          <w:tcPr>
            <w:tcW w:w="2925" w:type="dxa"/>
            <w:shd w:val="clear" w:color="auto" w:fill="auto"/>
          </w:tcPr>
          <w:p w14:paraId="28F760FC" w14:textId="77777777" w:rsidR="00D41241" w:rsidRPr="00F606F2" w:rsidRDefault="00D41241" w:rsidP="00B6013D">
            <w:r w:rsidRPr="00B21E12">
              <w:rPr>
                <w:i/>
                <w:color w:val="333333"/>
              </w:rPr>
              <w:t>Kindergarten Inclusion Support Scheme (KISS)</w:t>
            </w:r>
          </w:p>
        </w:tc>
        <w:tc>
          <w:tcPr>
            <w:tcW w:w="5704" w:type="dxa"/>
            <w:gridSpan w:val="2"/>
            <w:shd w:val="clear" w:color="auto" w:fill="auto"/>
          </w:tcPr>
          <w:p w14:paraId="4044AFC5" w14:textId="63D0074A" w:rsidR="00D41241" w:rsidRPr="009B27CD" w:rsidRDefault="00D41241" w:rsidP="009B27CD">
            <w:pPr>
              <w:pStyle w:val="NormalWeb"/>
              <w:shd w:val="clear" w:color="auto" w:fill="FDFDFD"/>
              <w:spacing w:before="0" w:beforeAutospacing="0" w:after="0" w:afterAutospacing="0"/>
              <w:jc w:val="both"/>
              <w:rPr>
                <w:rFonts w:ascii="Arial" w:hAnsi="Arial" w:cs="Arial"/>
                <w:sz w:val="22"/>
                <w:szCs w:val="22"/>
              </w:rPr>
            </w:pPr>
            <w:r w:rsidRPr="009B27CD">
              <w:rPr>
                <w:rFonts w:ascii="Arial" w:hAnsi="Arial" w:cs="Arial"/>
                <w:sz w:val="22"/>
                <w:szCs w:val="22"/>
              </w:rPr>
              <w:t>Provides funding to support kindergarten services deliver inclusive programs for children with disability.</w:t>
            </w:r>
            <w:r w:rsidR="009B27CD">
              <w:rPr>
                <w:rFonts w:ascii="Arial" w:hAnsi="Arial" w:cs="Arial"/>
                <w:sz w:val="22"/>
                <w:szCs w:val="22"/>
              </w:rPr>
              <w:t xml:space="preserve"> </w:t>
            </w:r>
            <w:r w:rsidRPr="009B27CD">
              <w:rPr>
                <w:rFonts w:ascii="Arial" w:hAnsi="Arial" w:cs="Arial"/>
                <w:sz w:val="22"/>
                <w:szCs w:val="22"/>
              </w:rPr>
              <w:t>The Scheme is also supported by the Specialised Equipment and Resources for Kindergartens (SERK) program that provides kindergarten services with free access to equipment and resources to support children with disability.</w:t>
            </w:r>
          </w:p>
        </w:tc>
        <w:tc>
          <w:tcPr>
            <w:tcW w:w="3802" w:type="dxa"/>
            <w:shd w:val="clear" w:color="auto" w:fill="auto"/>
          </w:tcPr>
          <w:p w14:paraId="2617E5BF" w14:textId="77777777" w:rsidR="00D41241" w:rsidRPr="00F606F2" w:rsidRDefault="00D41241" w:rsidP="00B6013D">
            <w:r w:rsidRPr="00141503">
              <w:t>Inclusion of children with a disability</w:t>
            </w:r>
          </w:p>
        </w:tc>
        <w:tc>
          <w:tcPr>
            <w:tcW w:w="1744" w:type="dxa"/>
            <w:shd w:val="clear" w:color="auto" w:fill="auto"/>
          </w:tcPr>
          <w:p w14:paraId="03B4C103" w14:textId="57C329AD" w:rsidR="00D41241" w:rsidRPr="00BE71CE" w:rsidRDefault="009B27CD" w:rsidP="00B6013D">
            <w:pPr>
              <w:spacing w:line="276" w:lineRule="auto"/>
              <w:rPr>
                <w:color w:val="333333"/>
              </w:rPr>
            </w:pPr>
            <w:r>
              <w:rPr>
                <w:rFonts w:cstheme="minorHAnsi"/>
              </w:rPr>
              <w:t>As above</w:t>
            </w:r>
          </w:p>
        </w:tc>
      </w:tr>
    </w:tbl>
    <w:p w14:paraId="2C5BFFEF" w14:textId="2F45C6F3" w:rsidR="00D41241" w:rsidRDefault="00D41241" w:rsidP="00D41241"/>
    <w:p w14:paraId="22EE2588" w14:textId="77777777" w:rsidR="00192655" w:rsidRDefault="00192655" w:rsidP="00D41241"/>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2918"/>
        <w:gridCol w:w="5702"/>
        <w:gridCol w:w="3801"/>
        <w:gridCol w:w="1743"/>
      </w:tblGrid>
      <w:tr w:rsidR="00800AEE" w:rsidRPr="002B22A8" w14:paraId="1C68AD75" w14:textId="689AB4FC" w:rsidTr="00BB6F4C">
        <w:tc>
          <w:tcPr>
            <w:tcW w:w="2929" w:type="dxa"/>
            <w:gridSpan w:val="2"/>
            <w:shd w:val="clear" w:color="auto" w:fill="D9D9D9" w:themeFill="background1" w:themeFillShade="D9"/>
          </w:tcPr>
          <w:p w14:paraId="59238EEE" w14:textId="77777777" w:rsidR="008C1B4B" w:rsidRDefault="008C1B4B" w:rsidP="00B6013D">
            <w:pPr>
              <w:rPr>
                <w:b/>
                <w:color w:val="002060"/>
              </w:rPr>
            </w:pPr>
          </w:p>
          <w:p w14:paraId="607643FF" w14:textId="45E7653C" w:rsidR="00800AEE" w:rsidRPr="002B22A8" w:rsidRDefault="00800AEE" w:rsidP="00B6013D">
            <w:pPr>
              <w:rPr>
                <w:rFonts w:eastAsia="Times New Roman"/>
                <w:color w:val="000000"/>
                <w:spacing w:val="2"/>
              </w:rPr>
            </w:pPr>
            <w:r>
              <w:rPr>
                <w:b/>
                <w:color w:val="002060"/>
              </w:rPr>
              <w:t>South Australia</w:t>
            </w:r>
          </w:p>
          <w:p w14:paraId="341B751D" w14:textId="77777777" w:rsidR="00800AEE" w:rsidRPr="002B22A8" w:rsidRDefault="00800AEE" w:rsidP="00B6013D">
            <w:pPr>
              <w:rPr>
                <w:rFonts w:eastAsia="Times New Roman"/>
                <w:color w:val="000000"/>
                <w:spacing w:val="2"/>
              </w:rPr>
            </w:pPr>
          </w:p>
        </w:tc>
        <w:tc>
          <w:tcPr>
            <w:tcW w:w="11246" w:type="dxa"/>
            <w:gridSpan w:val="3"/>
            <w:shd w:val="clear" w:color="auto" w:fill="F2F2F2" w:themeFill="background1" w:themeFillShade="F2"/>
          </w:tcPr>
          <w:p w14:paraId="121E0549" w14:textId="0E425B04" w:rsidR="00800AEE" w:rsidRPr="00192655" w:rsidRDefault="008C1B4B" w:rsidP="00350BE0">
            <w:pPr>
              <w:spacing w:before="168" w:after="168"/>
              <w:rPr>
                <w:rFonts w:ascii="Calibri" w:eastAsiaTheme="minorHAnsi" w:hAnsi="Calibri" w:cs="Calibri"/>
                <w:color w:val="202020"/>
                <w:spacing w:val="-3"/>
                <w:lang w:bidi="ar-SA"/>
              </w:rPr>
            </w:pPr>
            <w:r w:rsidRPr="00192655">
              <w:rPr>
                <w:color w:val="202020"/>
                <w:spacing w:val="-3"/>
              </w:rPr>
              <w:t xml:space="preserve">Strategy Focus:  </w:t>
            </w:r>
            <w:r w:rsidR="00350BE0">
              <w:rPr>
                <w:color w:val="202020"/>
                <w:spacing w:val="-3"/>
              </w:rPr>
              <w:t xml:space="preserve">The Attendance Policy and Attendance Matters 2018 – 2021 strategy promotes the importance of education from the earliest years of life and throughout the schooling years and will guide the efforts of preschools and schools to engage children and young people to stay at school and emphasises the important connection between positive wellbeing and learning outcomes. </w:t>
            </w:r>
          </w:p>
        </w:tc>
      </w:tr>
      <w:tr w:rsidR="00D41241" w:rsidRPr="00961318" w14:paraId="5E42B30D" w14:textId="77777777" w:rsidTr="00BB6F4C">
        <w:trPr>
          <w:tblHeader/>
        </w:trPr>
        <w:tc>
          <w:tcPr>
            <w:tcW w:w="2929" w:type="dxa"/>
            <w:gridSpan w:val="2"/>
            <w:tcBorders>
              <w:top w:val="single" w:sz="4" w:space="0" w:color="auto"/>
              <w:left w:val="single" w:sz="4" w:space="0" w:color="auto"/>
            </w:tcBorders>
            <w:shd w:val="clear" w:color="auto" w:fill="auto"/>
          </w:tcPr>
          <w:p w14:paraId="76D325C3" w14:textId="77777777" w:rsidR="00D41241" w:rsidRPr="00961318" w:rsidRDefault="00D41241" w:rsidP="00B6013D">
            <w:pPr>
              <w:rPr>
                <w:b/>
                <w:color w:val="002060"/>
              </w:rPr>
            </w:pPr>
            <w:r w:rsidRPr="00961318">
              <w:rPr>
                <w:b/>
                <w:color w:val="002060"/>
              </w:rPr>
              <w:t>Program or initiative</w:t>
            </w:r>
          </w:p>
        </w:tc>
        <w:tc>
          <w:tcPr>
            <w:tcW w:w="5702" w:type="dxa"/>
            <w:tcBorders>
              <w:top w:val="single" w:sz="4" w:space="0" w:color="auto"/>
            </w:tcBorders>
            <w:shd w:val="clear" w:color="auto" w:fill="auto"/>
          </w:tcPr>
          <w:p w14:paraId="1D5C95E4" w14:textId="77777777" w:rsidR="00D41241" w:rsidRPr="00961318" w:rsidRDefault="00D41241" w:rsidP="00B6013D">
            <w:pPr>
              <w:rPr>
                <w:b/>
                <w:color w:val="002060"/>
              </w:rPr>
            </w:pPr>
            <w:r>
              <w:rPr>
                <w:b/>
                <w:color w:val="002060"/>
              </w:rPr>
              <w:t xml:space="preserve">Details </w:t>
            </w:r>
          </w:p>
        </w:tc>
        <w:tc>
          <w:tcPr>
            <w:tcW w:w="3801" w:type="dxa"/>
            <w:shd w:val="clear" w:color="auto" w:fill="auto"/>
          </w:tcPr>
          <w:p w14:paraId="03EEFC9C" w14:textId="77777777" w:rsidR="00D41241" w:rsidRPr="00961318" w:rsidRDefault="00D41241" w:rsidP="00B6013D">
            <w:pPr>
              <w:rPr>
                <w:b/>
                <w:color w:val="002060"/>
              </w:rPr>
            </w:pPr>
            <w:r w:rsidRPr="00961318">
              <w:rPr>
                <w:b/>
                <w:color w:val="002060"/>
              </w:rPr>
              <w:t>Key drivers</w:t>
            </w:r>
          </w:p>
        </w:tc>
        <w:tc>
          <w:tcPr>
            <w:tcW w:w="1743" w:type="dxa"/>
          </w:tcPr>
          <w:p w14:paraId="025DA9AB" w14:textId="77777777" w:rsidR="00D41241" w:rsidRPr="00961318" w:rsidRDefault="00D41241" w:rsidP="00B6013D">
            <w:pPr>
              <w:rPr>
                <w:b/>
                <w:color w:val="002060"/>
              </w:rPr>
            </w:pPr>
            <w:r>
              <w:rPr>
                <w:b/>
                <w:color w:val="002060"/>
              </w:rPr>
              <w:t>Evaluation?</w:t>
            </w:r>
          </w:p>
        </w:tc>
      </w:tr>
      <w:tr w:rsidR="00D41241" w:rsidRPr="00873300" w14:paraId="36F983EE" w14:textId="77777777" w:rsidTr="00BB6F4C">
        <w:trPr>
          <w:gridBefore w:val="1"/>
          <w:wBefore w:w="11" w:type="dxa"/>
        </w:trPr>
        <w:tc>
          <w:tcPr>
            <w:tcW w:w="2918" w:type="dxa"/>
            <w:tcBorders>
              <w:top w:val="single" w:sz="4" w:space="0" w:color="auto"/>
              <w:left w:val="single" w:sz="4" w:space="0" w:color="auto"/>
              <w:bottom w:val="single" w:sz="4" w:space="0" w:color="auto"/>
              <w:right w:val="single" w:sz="4" w:space="0" w:color="auto"/>
            </w:tcBorders>
            <w:shd w:val="clear" w:color="auto" w:fill="auto"/>
          </w:tcPr>
          <w:p w14:paraId="3FDBE0D4" w14:textId="77777777" w:rsidR="00D41241" w:rsidRPr="00873300" w:rsidRDefault="00D41241" w:rsidP="00B6013D">
            <w:pPr>
              <w:rPr>
                <w:i/>
              </w:rPr>
            </w:pPr>
            <w:r w:rsidRPr="00873300">
              <w:rPr>
                <w:i/>
              </w:rPr>
              <w:t>Indigenous children with impaired hearing program</w:t>
            </w:r>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714CED18" w14:textId="77777777" w:rsidR="00D41241" w:rsidRPr="00873300" w:rsidRDefault="00D41241" w:rsidP="00B6013D">
            <w:pPr>
              <w:rPr>
                <w:color w:val="000000"/>
              </w:rPr>
            </w:pPr>
            <w:r w:rsidRPr="00B21E12">
              <w:rPr>
                <w:color w:val="000000"/>
              </w:rPr>
              <w:t xml:space="preserve">Provides speech pathology support for Aboriginal preschool children who have suffered from a conductive hearing loss due to otitis media. Supports access to </w:t>
            </w:r>
            <w:r>
              <w:rPr>
                <w:color w:val="000000"/>
              </w:rPr>
              <w:t xml:space="preserve">and participation in </w:t>
            </w:r>
            <w:r w:rsidRPr="00B21E12">
              <w:rPr>
                <w:color w:val="000000"/>
              </w:rPr>
              <w:t>mainstream preschool.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2F30A7E2" w14:textId="77777777" w:rsidR="00D41241" w:rsidRPr="00873300" w:rsidRDefault="00D41241" w:rsidP="00B6013D">
            <w:r w:rsidRPr="00873300">
              <w:t xml:space="preserve">Access to </w:t>
            </w:r>
            <w:r>
              <w:t xml:space="preserve">and participation in </w:t>
            </w:r>
            <w:r w:rsidRPr="00873300">
              <w:t>preschool</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8A54DCF" w14:textId="77777777" w:rsidR="00D41241" w:rsidRDefault="00D41241" w:rsidP="00B6013D">
            <w:r>
              <w:t xml:space="preserve">No Evaluation </w:t>
            </w:r>
          </w:p>
          <w:p w14:paraId="78A6EDB0" w14:textId="77777777" w:rsidR="00D41241" w:rsidRPr="00873300" w:rsidRDefault="00D41241" w:rsidP="00B6013D">
            <w:pPr>
              <w:ind w:left="216"/>
              <w:rPr>
                <w:rFonts w:ascii="MS Gothic" w:eastAsia="MS Gothic" w:hAnsi="MS Gothic" w:cstheme="minorHAnsi"/>
              </w:rPr>
            </w:pPr>
          </w:p>
        </w:tc>
      </w:tr>
      <w:tr w:rsidR="00D41241" w:rsidRPr="00873300" w14:paraId="606375E8" w14:textId="77777777" w:rsidTr="00BB6F4C">
        <w:trPr>
          <w:gridBefore w:val="1"/>
          <w:wBefore w:w="11" w:type="dxa"/>
        </w:trPr>
        <w:tc>
          <w:tcPr>
            <w:tcW w:w="2918" w:type="dxa"/>
            <w:tcBorders>
              <w:top w:val="single" w:sz="4" w:space="0" w:color="auto"/>
              <w:left w:val="single" w:sz="4" w:space="0" w:color="auto"/>
              <w:bottom w:val="single" w:sz="4" w:space="0" w:color="auto"/>
              <w:right w:val="single" w:sz="4" w:space="0" w:color="auto"/>
            </w:tcBorders>
            <w:shd w:val="clear" w:color="auto" w:fill="auto"/>
          </w:tcPr>
          <w:p w14:paraId="1D471934" w14:textId="77777777" w:rsidR="00D41241" w:rsidRPr="00873300" w:rsidRDefault="00D41241" w:rsidP="00B6013D">
            <w:pPr>
              <w:rPr>
                <w:i/>
              </w:rPr>
            </w:pPr>
            <w:r w:rsidRPr="00873300">
              <w:rPr>
                <w:i/>
              </w:rPr>
              <w:t>Preschool bilingual program</w:t>
            </w:r>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4B9EAE44" w14:textId="77777777" w:rsidR="00D41241" w:rsidRPr="00873300" w:rsidRDefault="00D41241" w:rsidP="00B6013D">
            <w:pPr>
              <w:rPr>
                <w:color w:val="000000"/>
              </w:rPr>
            </w:pPr>
            <w:r w:rsidRPr="00B21E12">
              <w:rPr>
                <w:color w:val="000000"/>
              </w:rPr>
              <w:t xml:space="preserve">Supports access to </w:t>
            </w:r>
            <w:r>
              <w:rPr>
                <w:color w:val="000000"/>
              </w:rPr>
              <w:t xml:space="preserve">and participation in </w:t>
            </w:r>
            <w:r w:rsidRPr="00B21E12">
              <w:rPr>
                <w:color w:val="000000"/>
              </w:rPr>
              <w:t>department preschools for children from non-English speaking backgrounds who are unable to speak English when they commence preschool.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21904065" w14:textId="77777777" w:rsidR="00D41241" w:rsidRPr="00873300" w:rsidRDefault="00D41241" w:rsidP="00B6013D">
            <w:r w:rsidRPr="00873300">
              <w:t xml:space="preserve">Access to </w:t>
            </w:r>
            <w:r>
              <w:t xml:space="preserve">and participation in </w:t>
            </w:r>
            <w:r w:rsidRPr="00873300">
              <w:t>preschool</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603266D" w14:textId="77777777" w:rsidR="00D41241" w:rsidRDefault="00D41241" w:rsidP="00B6013D">
            <w:r>
              <w:t xml:space="preserve">No Evaluation </w:t>
            </w:r>
          </w:p>
          <w:p w14:paraId="31E6053B" w14:textId="77777777" w:rsidR="00D41241" w:rsidRPr="00873300" w:rsidRDefault="00D41241" w:rsidP="00B6013D">
            <w:pPr>
              <w:ind w:left="216"/>
              <w:rPr>
                <w:rFonts w:ascii="MS Gothic" w:eastAsia="MS Gothic" w:hAnsi="MS Gothic" w:cstheme="minorHAnsi"/>
              </w:rPr>
            </w:pPr>
          </w:p>
        </w:tc>
      </w:tr>
      <w:tr w:rsidR="00D41241" w:rsidRPr="00873300" w14:paraId="7FAB115B" w14:textId="77777777" w:rsidTr="00BB6F4C">
        <w:trPr>
          <w:gridBefore w:val="1"/>
          <w:wBefore w:w="11" w:type="dxa"/>
        </w:trPr>
        <w:tc>
          <w:tcPr>
            <w:tcW w:w="2918" w:type="dxa"/>
            <w:tcBorders>
              <w:top w:val="single" w:sz="4" w:space="0" w:color="auto"/>
              <w:left w:val="single" w:sz="4" w:space="0" w:color="auto"/>
              <w:bottom w:val="single" w:sz="4" w:space="0" w:color="auto"/>
              <w:right w:val="single" w:sz="4" w:space="0" w:color="auto"/>
            </w:tcBorders>
            <w:shd w:val="clear" w:color="auto" w:fill="auto"/>
          </w:tcPr>
          <w:p w14:paraId="62AF3E70" w14:textId="77777777" w:rsidR="00D41241" w:rsidRPr="00873300" w:rsidRDefault="00D41241" w:rsidP="00B6013D">
            <w:pPr>
              <w:rPr>
                <w:i/>
              </w:rPr>
            </w:pPr>
            <w:r w:rsidRPr="00873300">
              <w:rPr>
                <w:i/>
              </w:rPr>
              <w:t>Subsidies to support preschool access for Indigenous children and vulnerable and disadvantaged children</w:t>
            </w:r>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77FB43DF" w14:textId="77777777" w:rsidR="00D41241" w:rsidRPr="00873300" w:rsidRDefault="00D41241" w:rsidP="00B6013D">
            <w:pPr>
              <w:rPr>
                <w:color w:val="000000"/>
              </w:rPr>
            </w:pPr>
            <w:r w:rsidRPr="002F17BB">
              <w:rPr>
                <w:color w:val="000000"/>
              </w:rPr>
              <w:t>Preschool subsidies (targeted to Indigenous children and concession card holders) that facilitate access to preschool in approved childcare centres, non-government schools and preschools to reduce fees for families.</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D67C582" w14:textId="77777777" w:rsidR="00D41241" w:rsidRPr="00873300" w:rsidRDefault="00D41241" w:rsidP="00B6013D">
            <w:r w:rsidRPr="00873300">
              <w:t xml:space="preserve">Access to preschool </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1111040A" w14:textId="77777777" w:rsidR="00D41241" w:rsidRDefault="00D41241" w:rsidP="00B6013D">
            <w:r>
              <w:t xml:space="preserve">No Evaluation </w:t>
            </w:r>
          </w:p>
          <w:p w14:paraId="54D4B831" w14:textId="77777777" w:rsidR="00D41241" w:rsidRPr="00873300" w:rsidRDefault="00D41241" w:rsidP="00B6013D">
            <w:pPr>
              <w:ind w:left="216"/>
              <w:rPr>
                <w:rFonts w:ascii="MS Gothic" w:eastAsia="MS Gothic" w:hAnsi="MS Gothic" w:cstheme="minorHAnsi"/>
              </w:rPr>
            </w:pPr>
          </w:p>
        </w:tc>
      </w:tr>
      <w:tr w:rsidR="00D41241" w:rsidRPr="00873300" w14:paraId="598A608A" w14:textId="77777777" w:rsidTr="00BB6F4C">
        <w:trPr>
          <w:gridBefore w:val="1"/>
          <w:wBefore w:w="11" w:type="dxa"/>
        </w:trPr>
        <w:tc>
          <w:tcPr>
            <w:tcW w:w="2918" w:type="dxa"/>
            <w:tcBorders>
              <w:top w:val="single" w:sz="4" w:space="0" w:color="auto"/>
              <w:left w:val="single" w:sz="4" w:space="0" w:color="auto"/>
              <w:bottom w:val="single" w:sz="4" w:space="0" w:color="auto"/>
              <w:right w:val="single" w:sz="4" w:space="0" w:color="auto"/>
            </w:tcBorders>
            <w:shd w:val="clear" w:color="auto" w:fill="auto"/>
          </w:tcPr>
          <w:p w14:paraId="60C5BCED" w14:textId="77777777" w:rsidR="00D41241" w:rsidRPr="00873300" w:rsidRDefault="00D41241" w:rsidP="00B6013D">
            <w:pPr>
              <w:rPr>
                <w:i/>
              </w:rPr>
            </w:pPr>
            <w:r w:rsidRPr="00873300">
              <w:rPr>
                <w:i/>
              </w:rPr>
              <w:t>Transport for Aboriginal children</w:t>
            </w:r>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1CEDCD75" w14:textId="77777777" w:rsidR="00D41241" w:rsidRPr="00B21E12" w:rsidRDefault="00D41241" w:rsidP="00B6013D">
            <w:pPr>
              <w:rPr>
                <w:color w:val="000000"/>
              </w:rPr>
            </w:pPr>
            <w:r>
              <w:rPr>
                <w:color w:val="000000"/>
              </w:rPr>
              <w:t xml:space="preserve">Several Government </w:t>
            </w:r>
            <w:r w:rsidRPr="00B21E12">
              <w:rPr>
                <w:color w:val="000000"/>
              </w:rPr>
              <w:t xml:space="preserve">preschools dedicated </w:t>
            </w:r>
            <w:r>
              <w:rPr>
                <w:color w:val="000000"/>
              </w:rPr>
              <w:t>to</w:t>
            </w:r>
            <w:r w:rsidRPr="00B21E12">
              <w:rPr>
                <w:color w:val="000000"/>
              </w:rPr>
              <w:t xml:space="preserve"> Aboriginal children operate a bus to collect and return children from preschool.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69EFB08F" w14:textId="77777777" w:rsidR="00D41241" w:rsidRPr="00873300" w:rsidRDefault="00D41241" w:rsidP="00B6013D">
            <w:r w:rsidRPr="00873300">
              <w:t>Addressing transport as a barrier</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B553A7D" w14:textId="77777777" w:rsidR="00D41241" w:rsidRDefault="00D41241" w:rsidP="00B6013D">
            <w:r>
              <w:t xml:space="preserve">No Evaluation </w:t>
            </w:r>
          </w:p>
          <w:p w14:paraId="7FB18D65" w14:textId="77777777" w:rsidR="00D41241" w:rsidRPr="00873300" w:rsidRDefault="00D41241" w:rsidP="00B6013D">
            <w:pPr>
              <w:ind w:left="216"/>
              <w:rPr>
                <w:rFonts w:ascii="MS Gothic" w:eastAsia="MS Gothic" w:hAnsi="MS Gothic" w:cstheme="minorHAnsi"/>
              </w:rPr>
            </w:pPr>
          </w:p>
        </w:tc>
      </w:tr>
      <w:tr w:rsidR="00D41241" w:rsidRPr="00873300" w14:paraId="2665DE18" w14:textId="77777777" w:rsidTr="00BB6F4C">
        <w:trPr>
          <w:gridBefore w:val="1"/>
          <w:wBefore w:w="11" w:type="dxa"/>
        </w:trPr>
        <w:tc>
          <w:tcPr>
            <w:tcW w:w="2918" w:type="dxa"/>
            <w:tcBorders>
              <w:top w:val="single" w:sz="4" w:space="0" w:color="auto"/>
              <w:left w:val="single" w:sz="4" w:space="0" w:color="auto"/>
              <w:bottom w:val="single" w:sz="4" w:space="0" w:color="auto"/>
              <w:right w:val="single" w:sz="4" w:space="0" w:color="auto"/>
            </w:tcBorders>
            <w:shd w:val="clear" w:color="auto" w:fill="auto"/>
          </w:tcPr>
          <w:p w14:paraId="2CA669EC" w14:textId="77777777" w:rsidR="00D41241" w:rsidRPr="00873300" w:rsidRDefault="00D41241" w:rsidP="00B6013D">
            <w:pPr>
              <w:rPr>
                <w:i/>
              </w:rPr>
            </w:pPr>
            <w:r w:rsidRPr="00873300">
              <w:rPr>
                <w:i/>
              </w:rPr>
              <w:t>Rural Care Program</w:t>
            </w:r>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073A49C5" w14:textId="77777777" w:rsidR="00D41241" w:rsidRPr="00873300" w:rsidRDefault="00D41241" w:rsidP="00B6013D">
            <w:pPr>
              <w:rPr>
                <w:color w:val="000000"/>
              </w:rPr>
            </w:pPr>
            <w:r w:rsidRPr="00873300">
              <w:rPr>
                <w:color w:val="000000"/>
              </w:rPr>
              <w:t>Long day care, before and after school child care service operated in departmental preschool sites in small rural communities. Facilitate</w:t>
            </w:r>
            <w:r>
              <w:rPr>
                <w:color w:val="000000"/>
              </w:rPr>
              <w:t>s</w:t>
            </w:r>
            <w:r w:rsidRPr="00873300">
              <w:rPr>
                <w:color w:val="000000"/>
              </w:rPr>
              <w:t xml:space="preserve"> transition to preschool.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622CC589" w14:textId="77777777" w:rsidR="00D41241" w:rsidRPr="00873300" w:rsidRDefault="00D41241" w:rsidP="00B6013D">
            <w:r w:rsidRPr="00873300">
              <w:t xml:space="preserve">Promotes young children’s development and learning by increasing access to high quality early childhood education and care. </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AA2F0BC" w14:textId="77777777" w:rsidR="00D41241" w:rsidRDefault="00D41241" w:rsidP="00B6013D">
            <w:r>
              <w:t xml:space="preserve">No Evaluation </w:t>
            </w:r>
          </w:p>
          <w:p w14:paraId="07FA3F95" w14:textId="77777777" w:rsidR="00D41241" w:rsidRPr="00873300" w:rsidRDefault="00D41241" w:rsidP="00B6013D">
            <w:pPr>
              <w:ind w:left="216"/>
              <w:rPr>
                <w:rFonts w:ascii="MS Gothic" w:eastAsia="MS Gothic" w:hAnsi="MS Gothic" w:cstheme="minorHAnsi"/>
              </w:rPr>
            </w:pPr>
          </w:p>
        </w:tc>
      </w:tr>
      <w:tr w:rsidR="00D41241" w:rsidRPr="00873300" w14:paraId="1CF872F7" w14:textId="77777777" w:rsidTr="00BB6F4C">
        <w:trPr>
          <w:gridBefore w:val="1"/>
          <w:wBefore w:w="11" w:type="dxa"/>
        </w:trPr>
        <w:tc>
          <w:tcPr>
            <w:tcW w:w="2918" w:type="dxa"/>
            <w:tcBorders>
              <w:top w:val="single" w:sz="4" w:space="0" w:color="auto"/>
              <w:left w:val="single" w:sz="4" w:space="0" w:color="auto"/>
              <w:bottom w:val="single" w:sz="4" w:space="0" w:color="auto"/>
              <w:right w:val="single" w:sz="4" w:space="0" w:color="auto"/>
            </w:tcBorders>
            <w:shd w:val="clear" w:color="auto" w:fill="auto"/>
          </w:tcPr>
          <w:p w14:paraId="2D060394" w14:textId="77777777" w:rsidR="00D41241" w:rsidRPr="00873300" w:rsidRDefault="00D41241" w:rsidP="00B6013D">
            <w:pPr>
              <w:rPr>
                <w:i/>
              </w:rPr>
            </w:pPr>
            <w:r w:rsidRPr="00873300">
              <w:rPr>
                <w:i/>
              </w:rPr>
              <w:t>Inclusive Education Support Program</w:t>
            </w:r>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5AC41BD5" w14:textId="1189FA34" w:rsidR="00D41241" w:rsidRPr="0058393C" w:rsidRDefault="005C1C35" w:rsidP="00B6013D">
            <w:r>
              <w:t>S</w:t>
            </w:r>
            <w:r w:rsidR="00D41241" w:rsidRPr="0058393C">
              <w:t>upports children with disabilities to attend their local preschool by the provision of grants to employ support staff to assist children to engage in learning.</w:t>
            </w:r>
          </w:p>
          <w:p w14:paraId="641A5BA3" w14:textId="77777777" w:rsidR="00D41241" w:rsidRDefault="00D41241" w:rsidP="00B6013D">
            <w:r w:rsidRPr="0058393C">
              <w:t>Additional funding is available for children requiring extensive adjustments to their learning programs (between  8 to 15 hours per week)</w:t>
            </w:r>
          </w:p>
          <w:p w14:paraId="306C96C4" w14:textId="5D5A1667" w:rsidR="00F82786" w:rsidRPr="00873300" w:rsidRDefault="00F82786" w:rsidP="00B6013D">
            <w:pPr>
              <w:rPr>
                <w:color w:val="000000"/>
              </w:rPr>
            </w:pP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E0B59E" w14:textId="77777777" w:rsidR="00D41241" w:rsidRPr="00873300" w:rsidRDefault="00D41241" w:rsidP="00B6013D">
            <w:r w:rsidRPr="00873300">
              <w:t>Inclusion of children with disabilities</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7A45520" w14:textId="77777777" w:rsidR="00D41241" w:rsidRDefault="00D41241" w:rsidP="00B6013D">
            <w:r>
              <w:t xml:space="preserve">No Evaluation </w:t>
            </w:r>
          </w:p>
          <w:p w14:paraId="56628796" w14:textId="77777777" w:rsidR="00D41241" w:rsidRPr="00873300" w:rsidRDefault="00D41241" w:rsidP="00B6013D">
            <w:pPr>
              <w:rPr>
                <w:rFonts w:ascii="MS Gothic" w:eastAsia="MS Gothic" w:hAnsi="MS Gothic" w:cstheme="minorHAnsi"/>
              </w:rPr>
            </w:pPr>
          </w:p>
        </w:tc>
      </w:tr>
      <w:tr w:rsidR="00D41241" w:rsidRPr="00B21E12" w14:paraId="6DCA627A" w14:textId="77777777" w:rsidTr="00BB6F4C">
        <w:trPr>
          <w:gridBefore w:val="1"/>
          <w:wBefore w:w="11" w:type="dxa"/>
        </w:trPr>
        <w:tc>
          <w:tcPr>
            <w:tcW w:w="2918" w:type="dxa"/>
            <w:shd w:val="clear" w:color="auto" w:fill="auto"/>
          </w:tcPr>
          <w:p w14:paraId="025F2FAC" w14:textId="77777777" w:rsidR="00D41241" w:rsidRPr="00B21E12" w:rsidRDefault="00D41241" w:rsidP="00B6013D">
            <w:pPr>
              <w:rPr>
                <w:i/>
                <w:color w:val="000000"/>
              </w:rPr>
            </w:pPr>
            <w:r w:rsidRPr="00B21E12">
              <w:rPr>
                <w:i/>
                <w:color w:val="000000"/>
              </w:rPr>
              <w:t>Additional funding for higher levels of adjustment</w:t>
            </w:r>
          </w:p>
        </w:tc>
        <w:tc>
          <w:tcPr>
            <w:tcW w:w="5702" w:type="dxa"/>
            <w:shd w:val="clear" w:color="auto" w:fill="auto"/>
          </w:tcPr>
          <w:p w14:paraId="18B486F8" w14:textId="77777777" w:rsidR="00D41241" w:rsidRPr="00B21E12" w:rsidRDefault="00D41241" w:rsidP="00B6013D">
            <w:pPr>
              <w:jc w:val="both"/>
              <w:rPr>
                <w:color w:val="000000"/>
              </w:rPr>
            </w:pPr>
            <w:r w:rsidRPr="00B21E12">
              <w:rPr>
                <w:color w:val="000000"/>
              </w:rPr>
              <w:t>Additional funding is available for children requiring extensive adjustments to their learning programs (greater than 8 hours per week)</w:t>
            </w:r>
          </w:p>
        </w:tc>
        <w:tc>
          <w:tcPr>
            <w:tcW w:w="3801" w:type="dxa"/>
            <w:shd w:val="clear" w:color="auto" w:fill="auto"/>
          </w:tcPr>
          <w:p w14:paraId="60AA9563" w14:textId="77777777" w:rsidR="00D41241" w:rsidRPr="00B21E12" w:rsidRDefault="00D41241" w:rsidP="00B6013D">
            <w:pPr>
              <w:jc w:val="both"/>
              <w:rPr>
                <w:rFonts w:cs="Calibri"/>
              </w:rPr>
            </w:pPr>
            <w:r w:rsidRPr="00B21E12">
              <w:rPr>
                <w:rFonts w:cs="Calibri"/>
              </w:rPr>
              <w:t xml:space="preserve">Inclusion </w:t>
            </w:r>
            <w:r>
              <w:rPr>
                <w:rFonts w:cs="Calibri"/>
              </w:rPr>
              <w:t>of</w:t>
            </w:r>
            <w:r w:rsidRPr="00B21E12">
              <w:rPr>
                <w:rFonts w:cs="Calibri"/>
              </w:rPr>
              <w:t xml:space="preserve"> children with additional needs</w:t>
            </w:r>
          </w:p>
        </w:tc>
        <w:tc>
          <w:tcPr>
            <w:tcW w:w="1743" w:type="dxa"/>
            <w:shd w:val="clear" w:color="auto" w:fill="auto"/>
          </w:tcPr>
          <w:p w14:paraId="0B31D7C7" w14:textId="77777777" w:rsidR="00D41241" w:rsidRDefault="00D41241" w:rsidP="00B6013D">
            <w:r>
              <w:t xml:space="preserve">No Evaluation </w:t>
            </w:r>
          </w:p>
          <w:p w14:paraId="122F947C" w14:textId="77777777" w:rsidR="00D41241" w:rsidRDefault="00D41241" w:rsidP="00B6013D">
            <w:pPr>
              <w:ind w:left="216"/>
            </w:pPr>
          </w:p>
          <w:p w14:paraId="46600C73" w14:textId="77777777" w:rsidR="00D41241" w:rsidRPr="00B21E12" w:rsidRDefault="00D41241" w:rsidP="00B6013D">
            <w:pPr>
              <w:ind w:left="216"/>
              <w:rPr>
                <w:rFonts w:cs="Calibri"/>
              </w:rPr>
            </w:pPr>
          </w:p>
        </w:tc>
      </w:tr>
      <w:tr w:rsidR="00D41241" w:rsidRPr="00732C14" w14:paraId="373CCEE7" w14:textId="77777777" w:rsidTr="00BB6F4C">
        <w:trPr>
          <w:gridBefore w:val="1"/>
          <w:wBefore w:w="11" w:type="dxa"/>
        </w:trPr>
        <w:tc>
          <w:tcPr>
            <w:tcW w:w="2918" w:type="dxa"/>
            <w:shd w:val="clear" w:color="auto" w:fill="auto"/>
          </w:tcPr>
          <w:p w14:paraId="0830E633" w14:textId="77777777" w:rsidR="00D41241" w:rsidRPr="00B21E12" w:rsidRDefault="00D41241" w:rsidP="00B6013D">
            <w:pPr>
              <w:rPr>
                <w:i/>
                <w:color w:val="000000"/>
              </w:rPr>
            </w:pPr>
            <w:r w:rsidRPr="00B21E12">
              <w:rPr>
                <w:i/>
                <w:color w:val="000000"/>
              </w:rPr>
              <w:t>Inclusive Preschool Programs (IPPs</w:t>
            </w:r>
            <w:r w:rsidRPr="00B21E12">
              <w:rPr>
                <w:b/>
                <w:color w:val="000000"/>
              </w:rPr>
              <w:t>)</w:t>
            </w:r>
          </w:p>
        </w:tc>
        <w:tc>
          <w:tcPr>
            <w:tcW w:w="5702" w:type="dxa"/>
            <w:shd w:val="clear" w:color="auto" w:fill="auto"/>
          </w:tcPr>
          <w:p w14:paraId="56FBDA03" w14:textId="77777777" w:rsidR="00D41241" w:rsidRPr="00B21E12" w:rsidRDefault="00D41241" w:rsidP="00B6013D">
            <w:pPr>
              <w:jc w:val="both"/>
              <w:rPr>
                <w:color w:val="000000"/>
              </w:rPr>
            </w:pPr>
            <w:r w:rsidRPr="00B21E12">
              <w:rPr>
                <w:color w:val="000000"/>
              </w:rPr>
              <w:t xml:space="preserve">Special options programs for preschool children with disability and complex needs </w:t>
            </w:r>
            <w:r>
              <w:rPr>
                <w:color w:val="000000"/>
              </w:rPr>
              <w:t xml:space="preserve">to </w:t>
            </w:r>
            <w:r w:rsidRPr="00B21E12">
              <w:rPr>
                <w:color w:val="000000"/>
              </w:rPr>
              <w:t>optimise their learning outcomes within a preschool setting. The programs provide families with a preschool education option for their child where the staff have sp</w:t>
            </w:r>
            <w:r>
              <w:rPr>
                <w:color w:val="000000"/>
              </w:rPr>
              <w:t>ecialised education, knowledge and</w:t>
            </w:r>
            <w:r w:rsidRPr="00B21E12">
              <w:rPr>
                <w:color w:val="000000"/>
              </w:rPr>
              <w:t xml:space="preserve"> expertise.</w:t>
            </w:r>
          </w:p>
        </w:tc>
        <w:tc>
          <w:tcPr>
            <w:tcW w:w="3801" w:type="dxa"/>
            <w:shd w:val="clear" w:color="auto" w:fill="auto"/>
          </w:tcPr>
          <w:p w14:paraId="16E79ABB" w14:textId="77777777" w:rsidR="00D41241" w:rsidRPr="00B21E12" w:rsidRDefault="00D41241" w:rsidP="00B6013D">
            <w:pPr>
              <w:jc w:val="both"/>
              <w:rPr>
                <w:color w:val="000000"/>
              </w:rPr>
            </w:pPr>
            <w:r w:rsidRPr="00B21E12">
              <w:rPr>
                <w:color w:val="000000"/>
              </w:rPr>
              <w:t xml:space="preserve">Inclusion </w:t>
            </w:r>
            <w:r>
              <w:rPr>
                <w:color w:val="000000"/>
              </w:rPr>
              <w:t>of</w:t>
            </w:r>
            <w:r w:rsidRPr="00B21E12">
              <w:rPr>
                <w:color w:val="000000"/>
              </w:rPr>
              <w:t xml:space="preserve"> children with disabilit</w:t>
            </w:r>
            <w:r>
              <w:rPr>
                <w:color w:val="000000"/>
              </w:rPr>
              <w:t>y</w:t>
            </w:r>
            <w:r w:rsidRPr="00B21E12">
              <w:rPr>
                <w:color w:val="000000"/>
              </w:rPr>
              <w:t xml:space="preserve"> and complex needs</w:t>
            </w:r>
          </w:p>
          <w:p w14:paraId="4E27B227" w14:textId="77777777" w:rsidR="00D41241" w:rsidRPr="00B21E12" w:rsidRDefault="00D41241" w:rsidP="00B6013D">
            <w:pPr>
              <w:jc w:val="both"/>
              <w:rPr>
                <w:rFonts w:cs="Calibri"/>
              </w:rPr>
            </w:pPr>
          </w:p>
        </w:tc>
        <w:tc>
          <w:tcPr>
            <w:tcW w:w="1743" w:type="dxa"/>
            <w:shd w:val="clear" w:color="auto" w:fill="auto"/>
          </w:tcPr>
          <w:p w14:paraId="63EA612D" w14:textId="77777777" w:rsidR="00D41241" w:rsidRDefault="00D41241" w:rsidP="00B6013D">
            <w:r>
              <w:t xml:space="preserve">No Evaluation </w:t>
            </w:r>
          </w:p>
          <w:p w14:paraId="319EE17A" w14:textId="77777777" w:rsidR="00D41241" w:rsidRPr="00732C14" w:rsidRDefault="00D41241" w:rsidP="00B6013D">
            <w:pPr>
              <w:ind w:left="216"/>
            </w:pPr>
          </w:p>
        </w:tc>
      </w:tr>
      <w:tr w:rsidR="00D41241" w:rsidRPr="00EB4D40" w14:paraId="334EDEBC" w14:textId="77777777" w:rsidTr="00BB6F4C">
        <w:trPr>
          <w:gridBefore w:val="1"/>
          <w:wBefore w:w="11" w:type="dxa"/>
        </w:trPr>
        <w:tc>
          <w:tcPr>
            <w:tcW w:w="2918" w:type="dxa"/>
            <w:shd w:val="clear" w:color="auto" w:fill="auto"/>
          </w:tcPr>
          <w:p w14:paraId="32DA35A2" w14:textId="77777777" w:rsidR="00D41241" w:rsidRPr="00B21E12" w:rsidRDefault="00D41241" w:rsidP="00B6013D">
            <w:pPr>
              <w:spacing w:line="276" w:lineRule="auto"/>
              <w:rPr>
                <w:i/>
                <w:color w:val="000000"/>
              </w:rPr>
            </w:pPr>
            <w:r w:rsidRPr="00B21E12">
              <w:rPr>
                <w:i/>
                <w:color w:val="000000"/>
              </w:rPr>
              <w:t xml:space="preserve">Speech and Language Programs </w:t>
            </w:r>
          </w:p>
          <w:p w14:paraId="784846CA" w14:textId="77777777" w:rsidR="00D41241" w:rsidRPr="00B21E12" w:rsidRDefault="00D41241" w:rsidP="00B6013D">
            <w:pPr>
              <w:rPr>
                <w:i/>
                <w:color w:val="000000"/>
              </w:rPr>
            </w:pPr>
          </w:p>
        </w:tc>
        <w:tc>
          <w:tcPr>
            <w:tcW w:w="5702" w:type="dxa"/>
            <w:shd w:val="clear" w:color="auto" w:fill="auto"/>
          </w:tcPr>
          <w:p w14:paraId="07D0A368" w14:textId="77777777" w:rsidR="00D41241" w:rsidRPr="00B21E12" w:rsidRDefault="00D41241" w:rsidP="00B6013D">
            <w:pPr>
              <w:jc w:val="both"/>
              <w:rPr>
                <w:color w:val="000000"/>
              </w:rPr>
            </w:pPr>
            <w:r w:rsidRPr="00B21E12">
              <w:rPr>
                <w:color w:val="000000"/>
              </w:rPr>
              <w:t>Provide</w:t>
            </w:r>
            <w:r>
              <w:rPr>
                <w:color w:val="000000"/>
              </w:rPr>
              <w:t>s</w:t>
            </w:r>
            <w:r w:rsidRPr="00B21E12">
              <w:rPr>
                <w:color w:val="000000"/>
              </w:rPr>
              <w:t xml:space="preserve"> intensive support for children whose severe, specific language and/or speech impairment is their primary area of need. Provides families with a specialised preschool option for their child that is co-located and integrated into a preschool service. </w:t>
            </w:r>
          </w:p>
        </w:tc>
        <w:tc>
          <w:tcPr>
            <w:tcW w:w="3801" w:type="dxa"/>
            <w:shd w:val="clear" w:color="auto" w:fill="auto"/>
          </w:tcPr>
          <w:p w14:paraId="6A196F2C" w14:textId="77777777" w:rsidR="00D41241" w:rsidRPr="00141503" w:rsidRDefault="00D41241" w:rsidP="00B6013D">
            <w:pPr>
              <w:jc w:val="both"/>
              <w:rPr>
                <w:color w:val="000000"/>
              </w:rPr>
            </w:pPr>
            <w:r w:rsidRPr="00B21E12">
              <w:rPr>
                <w:color w:val="000000"/>
              </w:rPr>
              <w:t xml:space="preserve">Inclusion </w:t>
            </w:r>
            <w:r>
              <w:rPr>
                <w:color w:val="000000"/>
              </w:rPr>
              <w:t>of</w:t>
            </w:r>
            <w:r w:rsidRPr="00B21E12">
              <w:rPr>
                <w:color w:val="000000"/>
              </w:rPr>
              <w:t xml:space="preserve"> children with severe, specific la</w:t>
            </w:r>
            <w:r>
              <w:rPr>
                <w:color w:val="000000"/>
              </w:rPr>
              <w:t>nguage and/or speech impairment</w:t>
            </w:r>
          </w:p>
        </w:tc>
        <w:tc>
          <w:tcPr>
            <w:tcW w:w="1743" w:type="dxa"/>
            <w:shd w:val="clear" w:color="auto" w:fill="auto"/>
          </w:tcPr>
          <w:p w14:paraId="6CCAD322" w14:textId="77777777" w:rsidR="00D41241" w:rsidRDefault="00D41241" w:rsidP="00B6013D">
            <w:r>
              <w:t xml:space="preserve">No Evaluation </w:t>
            </w:r>
          </w:p>
          <w:p w14:paraId="3C12ABA0" w14:textId="77777777" w:rsidR="00D41241" w:rsidRPr="00EB4D40" w:rsidRDefault="00D41241" w:rsidP="00B6013D">
            <w:pPr>
              <w:ind w:left="216"/>
            </w:pPr>
          </w:p>
        </w:tc>
      </w:tr>
      <w:tr w:rsidR="00D41241" w:rsidRPr="00873300" w14:paraId="15AE18DE" w14:textId="77777777" w:rsidTr="00BB6F4C">
        <w:trPr>
          <w:gridBefore w:val="1"/>
          <w:wBefore w:w="11" w:type="dxa"/>
        </w:trPr>
        <w:tc>
          <w:tcPr>
            <w:tcW w:w="2918" w:type="dxa"/>
            <w:tcBorders>
              <w:top w:val="single" w:sz="4" w:space="0" w:color="auto"/>
              <w:left w:val="single" w:sz="4" w:space="0" w:color="auto"/>
              <w:bottom w:val="single" w:sz="4" w:space="0" w:color="auto"/>
              <w:right w:val="single" w:sz="4" w:space="0" w:color="auto"/>
            </w:tcBorders>
            <w:shd w:val="clear" w:color="auto" w:fill="auto"/>
          </w:tcPr>
          <w:p w14:paraId="73C3A251" w14:textId="77777777" w:rsidR="00D41241" w:rsidRPr="00873300" w:rsidRDefault="00D41241" w:rsidP="00B6013D">
            <w:pPr>
              <w:rPr>
                <w:i/>
              </w:rPr>
            </w:pPr>
            <w:r w:rsidRPr="00873300">
              <w:rPr>
                <w:i/>
              </w:rPr>
              <w:t>Attendance social media campaign – pilot</w:t>
            </w:r>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3336FD54" w14:textId="77777777" w:rsidR="00D41241" w:rsidRPr="00873300" w:rsidRDefault="00D41241" w:rsidP="00B6013D">
            <w:pPr>
              <w:rPr>
                <w:color w:val="000000"/>
              </w:rPr>
            </w:pPr>
            <w:r w:rsidRPr="00873300">
              <w:rPr>
                <w:color w:val="000000"/>
              </w:rPr>
              <w:t xml:space="preserve">Social media campaign </w:t>
            </w:r>
            <w:r>
              <w:rPr>
                <w:color w:val="000000"/>
              </w:rPr>
              <w:t>“</w:t>
            </w:r>
            <w:r w:rsidRPr="00873300">
              <w:rPr>
                <w:color w:val="000000"/>
              </w:rPr>
              <w:t>Every day missed is a barrier to learning</w:t>
            </w:r>
            <w:r>
              <w:rPr>
                <w:color w:val="000000"/>
              </w:rPr>
              <w:t>”</w:t>
            </w:r>
            <w:r w:rsidRPr="00873300">
              <w:rPr>
                <w:color w:val="000000"/>
              </w:rPr>
              <w:t xml:space="preserve"> distributed through video, posters, postcards, flyers and website.</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FA15BC0" w14:textId="77777777" w:rsidR="00D41241" w:rsidRPr="00873300" w:rsidRDefault="00D41241" w:rsidP="00B6013D">
            <w:r w:rsidRPr="00873300">
              <w:t xml:space="preserve">Highlights importance of attending preschool and school every day to </w:t>
            </w:r>
            <w:r>
              <w:t>families</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52E20D3" w14:textId="57823775" w:rsidR="00D41241" w:rsidRPr="00FA0D1A" w:rsidRDefault="00D41241" w:rsidP="00FA0D1A">
            <w:pPr>
              <w:rPr>
                <w:rFonts w:eastAsia="MS Gothic"/>
              </w:rPr>
            </w:pPr>
            <w:r w:rsidRPr="00873300">
              <w:rPr>
                <w:rFonts w:eastAsia="MS Gothic"/>
              </w:rPr>
              <w:t xml:space="preserve">Currently being evaluated. </w:t>
            </w:r>
            <w:r>
              <w:rPr>
                <w:rFonts w:eastAsia="MS Gothic"/>
              </w:rPr>
              <w:t>limited information may be available in first quarter of 2020</w:t>
            </w:r>
          </w:p>
        </w:tc>
      </w:tr>
    </w:tbl>
    <w:p w14:paraId="57F34FD8" w14:textId="30C3C162" w:rsidR="00192655" w:rsidRDefault="00192655" w:rsidP="00D41241"/>
    <w:p w14:paraId="1F79E25F" w14:textId="1CE1B627" w:rsidR="00192655" w:rsidRDefault="00192655" w:rsidP="00D41241"/>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20"/>
        <w:gridCol w:w="5684"/>
        <w:gridCol w:w="3802"/>
        <w:gridCol w:w="1744"/>
      </w:tblGrid>
      <w:tr w:rsidR="008C1B4B" w:rsidRPr="002B22A8" w14:paraId="1F35346A" w14:textId="4CC3C18A" w:rsidTr="00BB6F4C">
        <w:tc>
          <w:tcPr>
            <w:tcW w:w="2945" w:type="dxa"/>
            <w:gridSpan w:val="2"/>
            <w:shd w:val="clear" w:color="auto" w:fill="D9D9D9" w:themeFill="background1" w:themeFillShade="D9"/>
          </w:tcPr>
          <w:p w14:paraId="3527D4D4" w14:textId="77777777" w:rsidR="008C1B4B" w:rsidRDefault="008C1B4B" w:rsidP="00B6013D">
            <w:pPr>
              <w:rPr>
                <w:b/>
                <w:color w:val="002060"/>
              </w:rPr>
            </w:pPr>
          </w:p>
          <w:p w14:paraId="46FCDF42" w14:textId="75396014" w:rsidR="008C1B4B" w:rsidRPr="002B22A8" w:rsidRDefault="008C1B4B" w:rsidP="00B6013D">
            <w:pPr>
              <w:rPr>
                <w:rFonts w:eastAsia="Times New Roman"/>
                <w:color w:val="000000"/>
                <w:spacing w:val="2"/>
              </w:rPr>
            </w:pPr>
            <w:r>
              <w:rPr>
                <w:b/>
                <w:color w:val="002060"/>
              </w:rPr>
              <w:t>Tasmania</w:t>
            </w:r>
          </w:p>
          <w:p w14:paraId="6E0DB713" w14:textId="77777777" w:rsidR="008C1B4B" w:rsidRPr="002B22A8" w:rsidRDefault="008C1B4B" w:rsidP="00B6013D">
            <w:pPr>
              <w:rPr>
                <w:rFonts w:eastAsia="Times New Roman"/>
                <w:color w:val="000000"/>
                <w:spacing w:val="2"/>
              </w:rPr>
            </w:pPr>
          </w:p>
        </w:tc>
        <w:tc>
          <w:tcPr>
            <w:tcW w:w="11230" w:type="dxa"/>
            <w:gridSpan w:val="3"/>
            <w:shd w:val="clear" w:color="auto" w:fill="F2F2F2" w:themeFill="background1" w:themeFillShade="F2"/>
          </w:tcPr>
          <w:p w14:paraId="0D2121C1" w14:textId="77777777" w:rsidR="008C1B4B" w:rsidRDefault="008C1B4B">
            <w:pPr>
              <w:rPr>
                <w:color w:val="000000" w:themeColor="text1"/>
              </w:rPr>
            </w:pPr>
          </w:p>
          <w:p w14:paraId="7FBC224A" w14:textId="0FD99E93" w:rsidR="008C1B4B" w:rsidRDefault="0031148B">
            <w:pPr>
              <w:rPr>
                <w:rFonts w:eastAsia="Times New Roman"/>
                <w:color w:val="000000"/>
                <w:spacing w:val="2"/>
              </w:rPr>
            </w:pPr>
            <w:r>
              <w:rPr>
                <w:color w:val="000000" w:themeColor="text1"/>
              </w:rPr>
              <w:t>Strategy Focus:</w:t>
            </w:r>
            <w:r w:rsidR="008C1B4B" w:rsidRPr="001114EE">
              <w:rPr>
                <w:color w:val="000000" w:themeColor="text1"/>
              </w:rPr>
              <w:t xml:space="preserve"> Pregnancy to Eight Years Strategy launched in November 2017.  The Strategy outlines shared purpose and practices for all Tasmanian service providers that focus on improving the education, health and wellbeing outcomes of children from pregnancy to eight years.</w:t>
            </w:r>
          </w:p>
          <w:p w14:paraId="0CE4B190" w14:textId="77777777" w:rsidR="008C1B4B" w:rsidRPr="002B22A8" w:rsidRDefault="008C1B4B" w:rsidP="00B6013D">
            <w:pPr>
              <w:rPr>
                <w:rFonts w:eastAsia="Times New Roman"/>
                <w:color w:val="000000"/>
                <w:spacing w:val="2"/>
              </w:rPr>
            </w:pPr>
          </w:p>
        </w:tc>
      </w:tr>
      <w:tr w:rsidR="00D41241" w:rsidRPr="00961318" w14:paraId="4FE01893" w14:textId="77777777" w:rsidTr="00BB6F4C">
        <w:trPr>
          <w:tblHeader/>
        </w:trPr>
        <w:tc>
          <w:tcPr>
            <w:tcW w:w="2925" w:type="dxa"/>
            <w:tcBorders>
              <w:top w:val="single" w:sz="4" w:space="0" w:color="auto"/>
              <w:left w:val="single" w:sz="4" w:space="0" w:color="auto"/>
            </w:tcBorders>
            <w:shd w:val="clear" w:color="auto" w:fill="auto"/>
          </w:tcPr>
          <w:p w14:paraId="5728782F" w14:textId="77777777" w:rsidR="00D41241" w:rsidRPr="00961318" w:rsidRDefault="00D41241" w:rsidP="00B6013D">
            <w:pPr>
              <w:rPr>
                <w:b/>
                <w:color w:val="002060"/>
              </w:rPr>
            </w:pPr>
            <w:r w:rsidRPr="00961318">
              <w:rPr>
                <w:b/>
                <w:color w:val="002060"/>
              </w:rPr>
              <w:t>Program or initiative</w:t>
            </w:r>
          </w:p>
        </w:tc>
        <w:tc>
          <w:tcPr>
            <w:tcW w:w="5704" w:type="dxa"/>
            <w:gridSpan w:val="2"/>
            <w:tcBorders>
              <w:top w:val="single" w:sz="4" w:space="0" w:color="auto"/>
            </w:tcBorders>
            <w:shd w:val="clear" w:color="auto" w:fill="auto"/>
          </w:tcPr>
          <w:p w14:paraId="46978D53" w14:textId="77777777" w:rsidR="00D41241" w:rsidRPr="00961318" w:rsidRDefault="00D41241" w:rsidP="00B6013D">
            <w:pPr>
              <w:rPr>
                <w:b/>
                <w:color w:val="002060"/>
              </w:rPr>
            </w:pPr>
            <w:r>
              <w:rPr>
                <w:b/>
                <w:color w:val="002060"/>
              </w:rPr>
              <w:t xml:space="preserve">Details </w:t>
            </w:r>
          </w:p>
        </w:tc>
        <w:tc>
          <w:tcPr>
            <w:tcW w:w="3802" w:type="dxa"/>
            <w:shd w:val="clear" w:color="auto" w:fill="auto"/>
          </w:tcPr>
          <w:p w14:paraId="3F15725C" w14:textId="77777777" w:rsidR="00D41241" w:rsidRPr="00961318" w:rsidRDefault="00D41241" w:rsidP="00B6013D">
            <w:pPr>
              <w:rPr>
                <w:b/>
                <w:color w:val="002060"/>
              </w:rPr>
            </w:pPr>
            <w:r w:rsidRPr="00961318">
              <w:rPr>
                <w:b/>
                <w:color w:val="002060"/>
              </w:rPr>
              <w:t>Key drivers</w:t>
            </w:r>
          </w:p>
        </w:tc>
        <w:tc>
          <w:tcPr>
            <w:tcW w:w="1744" w:type="dxa"/>
          </w:tcPr>
          <w:p w14:paraId="34D0F8A8" w14:textId="77777777" w:rsidR="00D41241" w:rsidRPr="00961318" w:rsidRDefault="00D41241" w:rsidP="00B6013D">
            <w:pPr>
              <w:rPr>
                <w:b/>
                <w:color w:val="002060"/>
              </w:rPr>
            </w:pPr>
            <w:r>
              <w:rPr>
                <w:b/>
                <w:color w:val="002060"/>
              </w:rPr>
              <w:t>Evaluation?</w:t>
            </w:r>
          </w:p>
        </w:tc>
      </w:tr>
      <w:tr w:rsidR="00D41241" w:rsidRPr="001114EE" w14:paraId="1E97B7A1" w14:textId="77777777" w:rsidTr="00BB6F4C">
        <w:tc>
          <w:tcPr>
            <w:tcW w:w="2925" w:type="dxa"/>
            <w:tcBorders>
              <w:top w:val="single" w:sz="4" w:space="0" w:color="auto"/>
              <w:left w:val="single" w:sz="4" w:space="0" w:color="auto"/>
              <w:bottom w:val="single" w:sz="4" w:space="0" w:color="auto"/>
              <w:right w:val="single" w:sz="4" w:space="0" w:color="auto"/>
            </w:tcBorders>
            <w:shd w:val="clear" w:color="auto" w:fill="auto"/>
          </w:tcPr>
          <w:p w14:paraId="631BAD8C" w14:textId="77777777" w:rsidR="00D41241" w:rsidRPr="00D73012" w:rsidRDefault="00D41241" w:rsidP="00B6013D">
            <w:pPr>
              <w:rPr>
                <w:i/>
                <w:color w:val="000000" w:themeColor="text1"/>
              </w:rPr>
            </w:pPr>
            <w:r w:rsidRPr="00D73012">
              <w:rPr>
                <w:i/>
                <w:color w:val="000000" w:themeColor="text1"/>
              </w:rPr>
              <w:t>Kindergarten</w:t>
            </w:r>
          </w:p>
        </w:tc>
        <w:tc>
          <w:tcPr>
            <w:tcW w:w="5704" w:type="dxa"/>
            <w:gridSpan w:val="2"/>
            <w:tcBorders>
              <w:top w:val="single" w:sz="4" w:space="0" w:color="auto"/>
              <w:left w:val="single" w:sz="4" w:space="0" w:color="auto"/>
              <w:bottom w:val="single" w:sz="4" w:space="0" w:color="auto"/>
              <w:right w:val="single" w:sz="4" w:space="0" w:color="auto"/>
            </w:tcBorders>
            <w:shd w:val="clear" w:color="auto" w:fill="auto"/>
          </w:tcPr>
          <w:p w14:paraId="425667E4" w14:textId="7E3B52D8" w:rsidR="00F82786" w:rsidRDefault="00D41241" w:rsidP="00B6013D">
            <w:pPr>
              <w:rPr>
                <w:color w:val="000000" w:themeColor="text1"/>
              </w:rPr>
            </w:pPr>
            <w:r w:rsidRPr="001114EE">
              <w:rPr>
                <w:color w:val="000000" w:themeColor="text1"/>
              </w:rPr>
              <w:t>All Tasmanian Children are entitled to access kindergarten services if they are 4 years old on 1 January in any year. They are part of primary sc</w:t>
            </w:r>
            <w:r w:rsidR="00D464BF">
              <w:rPr>
                <w:color w:val="000000" w:themeColor="text1"/>
              </w:rPr>
              <w:t>hools</w:t>
            </w:r>
          </w:p>
          <w:p w14:paraId="44E6223A" w14:textId="364F71B0" w:rsidR="00D464BF" w:rsidRDefault="00D464BF" w:rsidP="00B6013D">
            <w:pPr>
              <w:rPr>
                <w:color w:val="000000" w:themeColor="text1"/>
              </w:rPr>
            </w:pPr>
          </w:p>
          <w:p w14:paraId="20C93A57" w14:textId="77777777" w:rsidR="00D464BF" w:rsidRDefault="00D464BF" w:rsidP="00B6013D">
            <w:pPr>
              <w:rPr>
                <w:color w:val="000000" w:themeColor="text1"/>
              </w:rPr>
            </w:pPr>
          </w:p>
          <w:p w14:paraId="095290C4" w14:textId="77777777" w:rsidR="00D41241" w:rsidRDefault="00BA469C" w:rsidP="00B6013D">
            <w:hyperlink r:id="rId28" w:history="1">
              <w:r w:rsidR="00D41241">
                <w:rPr>
                  <w:rStyle w:val="Hyperlink"/>
                </w:rPr>
                <w:t>https://www.education.tas.gov.au/parents-carers/early-years/kindergarten/</w:t>
              </w:r>
            </w:hyperlink>
          </w:p>
          <w:p w14:paraId="3F885950" w14:textId="77777777" w:rsidR="00D41241" w:rsidRDefault="00D41241" w:rsidP="00B6013D"/>
          <w:p w14:paraId="6CD72F0C" w14:textId="77777777" w:rsidR="00D41241" w:rsidRPr="001114EE" w:rsidRDefault="00BA469C" w:rsidP="00B6013D">
            <w:pPr>
              <w:rPr>
                <w:color w:val="000000" w:themeColor="text1"/>
              </w:rPr>
            </w:pPr>
            <w:hyperlink r:id="rId29" w:history="1">
              <w:r w:rsidR="00D41241">
                <w:rPr>
                  <w:rStyle w:val="Hyperlink"/>
                </w:rPr>
                <w:t>https://greatstart.tas.gov.au/</w:t>
              </w:r>
            </w:hyperlink>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1634C929" w14:textId="77777777" w:rsidR="00D41241" w:rsidRPr="001114EE" w:rsidRDefault="00D41241" w:rsidP="00B6013D">
            <w:pPr>
              <w:rPr>
                <w:color w:val="000000" w:themeColor="text1"/>
              </w:rPr>
            </w:pPr>
            <w:r>
              <w:rPr>
                <w:color w:val="000000" w:themeColor="text1"/>
              </w:rPr>
              <w:t>Positions pre</w:t>
            </w:r>
            <w:r w:rsidRPr="001114EE">
              <w:rPr>
                <w:color w:val="000000" w:themeColor="text1"/>
              </w:rPr>
              <w:t>school participation as the norm in schooling</w:t>
            </w:r>
            <w:r w:rsidRPr="001114EE">
              <w:rPr>
                <w:color w:val="000000" w:themeColor="text1"/>
              </w:rPr>
              <w:tab/>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215EFA8" w14:textId="409AB91A" w:rsidR="00D41241" w:rsidRPr="001114EE" w:rsidRDefault="00D41241" w:rsidP="00B6013D">
            <w:pPr>
              <w:rPr>
                <w:rFonts w:ascii="MS Gothic" w:eastAsia="MS Gothic" w:hAnsi="MS Gothic" w:cstheme="minorHAnsi"/>
                <w:color w:val="000000" w:themeColor="text1"/>
              </w:rPr>
            </w:pPr>
            <w:r>
              <w:rPr>
                <w:color w:val="000000" w:themeColor="text1"/>
              </w:rPr>
              <w:t>Has significant long</w:t>
            </w:r>
            <w:r w:rsidR="005C1C35">
              <w:rPr>
                <w:color w:val="000000" w:themeColor="text1"/>
              </w:rPr>
              <w:t>evity and is embedded in</w:t>
            </w:r>
            <w:r>
              <w:rPr>
                <w:color w:val="000000" w:themeColor="text1"/>
              </w:rPr>
              <w:t xml:space="preserve"> Tasmania’</w:t>
            </w:r>
            <w:r w:rsidR="005C1C35">
              <w:rPr>
                <w:color w:val="000000" w:themeColor="text1"/>
              </w:rPr>
              <w:t xml:space="preserve">s state education system – </w:t>
            </w:r>
            <w:r>
              <w:rPr>
                <w:color w:val="000000" w:themeColor="text1"/>
              </w:rPr>
              <w:t>subject to system level review/evaluation processes</w:t>
            </w:r>
          </w:p>
        </w:tc>
      </w:tr>
      <w:tr w:rsidR="00D41241" w:rsidRPr="001114EE" w14:paraId="59D8CB35" w14:textId="77777777" w:rsidTr="00BB6F4C">
        <w:tc>
          <w:tcPr>
            <w:tcW w:w="2925" w:type="dxa"/>
            <w:shd w:val="clear" w:color="auto" w:fill="auto"/>
          </w:tcPr>
          <w:p w14:paraId="3D6C6CCA" w14:textId="77777777" w:rsidR="00D41241" w:rsidRPr="00D73012" w:rsidRDefault="00D41241" w:rsidP="00B6013D">
            <w:pPr>
              <w:rPr>
                <w:i/>
                <w:color w:val="000000" w:themeColor="text1"/>
              </w:rPr>
            </w:pPr>
            <w:r w:rsidRPr="00D73012">
              <w:rPr>
                <w:i/>
                <w:color w:val="000000" w:themeColor="text1"/>
              </w:rPr>
              <w:t>Launching into Learning (LiL)</w:t>
            </w:r>
          </w:p>
        </w:tc>
        <w:tc>
          <w:tcPr>
            <w:tcW w:w="5704" w:type="dxa"/>
            <w:gridSpan w:val="2"/>
            <w:shd w:val="clear" w:color="auto" w:fill="auto"/>
          </w:tcPr>
          <w:p w14:paraId="03964EF0" w14:textId="77777777" w:rsidR="00D41241" w:rsidRDefault="00D41241" w:rsidP="00B6013D">
            <w:pPr>
              <w:rPr>
                <w:color w:val="000000" w:themeColor="text1"/>
              </w:rPr>
            </w:pPr>
            <w:r w:rsidRPr="001114EE">
              <w:rPr>
                <w:color w:val="000000" w:themeColor="text1"/>
              </w:rPr>
              <w:t>Free program to support the development of children, from birth to 4 years old, and their families.</w:t>
            </w:r>
          </w:p>
          <w:p w14:paraId="385F0097" w14:textId="77777777" w:rsidR="00D41241" w:rsidRDefault="00D41241" w:rsidP="00B6013D">
            <w:pPr>
              <w:rPr>
                <w:color w:val="000000" w:themeColor="text1"/>
              </w:rPr>
            </w:pPr>
            <w:r>
              <w:rPr>
                <w:color w:val="000000" w:themeColor="text1"/>
              </w:rPr>
              <w:t>In the</w:t>
            </w:r>
            <w:r w:rsidRPr="00715A83">
              <w:rPr>
                <w:color w:val="000000" w:themeColor="text1"/>
              </w:rPr>
              <w:t xml:space="preserve"> most recent public </w:t>
            </w:r>
            <w:r>
              <w:rPr>
                <w:color w:val="000000" w:themeColor="text1"/>
              </w:rPr>
              <w:t xml:space="preserve">report </w:t>
            </w:r>
            <w:r w:rsidRPr="00715A83">
              <w:rPr>
                <w:color w:val="000000" w:themeColor="text1"/>
              </w:rPr>
              <w:t>subsequent outcomes remain the same, that attending LiL makes a difference for all SES cohorts, and the greater the attendance, the greater the outcomes.</w:t>
            </w:r>
          </w:p>
          <w:p w14:paraId="2FA66B8F" w14:textId="77777777" w:rsidR="00D41241" w:rsidRPr="00715A83" w:rsidRDefault="00BA469C" w:rsidP="00B6013D">
            <w:pPr>
              <w:rPr>
                <w:rFonts w:ascii="Calibri" w:eastAsiaTheme="minorHAnsi" w:hAnsi="Calibri"/>
                <w:color w:val="1F497D"/>
              </w:rPr>
            </w:pPr>
            <w:hyperlink r:id="rId30" w:history="1">
              <w:r w:rsidR="00D41241">
                <w:rPr>
                  <w:rStyle w:val="Hyperlink"/>
                </w:rPr>
                <w:t>https://www.education.tas.gov.au/parents-carers/early-years/launching-learning-lil/</w:t>
              </w:r>
            </w:hyperlink>
          </w:p>
          <w:p w14:paraId="1E792A76" w14:textId="77777777" w:rsidR="00D41241" w:rsidRPr="001114EE" w:rsidRDefault="00BA469C" w:rsidP="00B6013D">
            <w:pPr>
              <w:rPr>
                <w:color w:val="000000" w:themeColor="text1"/>
              </w:rPr>
            </w:pPr>
            <w:hyperlink r:id="rId31" w:history="1">
              <w:r w:rsidR="00D41241">
                <w:rPr>
                  <w:rStyle w:val="Hyperlink"/>
                </w:rPr>
                <w:t>https://greatstart.tas.gov.au/</w:t>
              </w:r>
            </w:hyperlink>
          </w:p>
        </w:tc>
        <w:tc>
          <w:tcPr>
            <w:tcW w:w="3802" w:type="dxa"/>
            <w:shd w:val="clear" w:color="auto" w:fill="auto"/>
          </w:tcPr>
          <w:p w14:paraId="295EBEB8" w14:textId="77777777" w:rsidR="00D41241" w:rsidRPr="001114EE" w:rsidRDefault="00D41241" w:rsidP="00B6013D">
            <w:pPr>
              <w:rPr>
                <w:color w:val="000000" w:themeColor="text1"/>
              </w:rPr>
            </w:pPr>
            <w:r w:rsidRPr="001114EE">
              <w:rPr>
                <w:color w:val="000000" w:themeColor="text1"/>
              </w:rPr>
              <w:t>Transition into Kindergarten and building connection for families with their local school.</w:t>
            </w:r>
          </w:p>
        </w:tc>
        <w:tc>
          <w:tcPr>
            <w:tcW w:w="1744" w:type="dxa"/>
            <w:shd w:val="clear" w:color="auto" w:fill="auto"/>
          </w:tcPr>
          <w:p w14:paraId="32C7681E" w14:textId="77777777" w:rsidR="00D41241" w:rsidRPr="001114EE" w:rsidRDefault="00D41241" w:rsidP="00B6013D">
            <w:pPr>
              <w:rPr>
                <w:color w:val="000000" w:themeColor="text1"/>
              </w:rPr>
            </w:pPr>
            <w:r>
              <w:rPr>
                <w:color w:val="000000" w:themeColor="text1"/>
              </w:rPr>
              <w:t>Internal and External Evaluations</w:t>
            </w:r>
            <w:r w:rsidRPr="001114EE">
              <w:rPr>
                <w:color w:val="000000" w:themeColor="text1"/>
              </w:rPr>
              <w:t xml:space="preserve"> Completed</w:t>
            </w:r>
          </w:p>
          <w:p w14:paraId="26F2277C" w14:textId="77777777" w:rsidR="00D41241" w:rsidRDefault="00D41241" w:rsidP="00B6013D">
            <w:pPr>
              <w:spacing w:line="276" w:lineRule="auto"/>
              <w:rPr>
                <w:color w:val="000000" w:themeColor="text1"/>
              </w:rPr>
            </w:pPr>
            <w:r w:rsidRPr="001114EE">
              <w:rPr>
                <w:color w:val="000000" w:themeColor="text1"/>
              </w:rPr>
              <w:t>Launching into Learning Longitudinal Study 2007 – 2014 was released in 2013 focusing on the 2011 cohort.</w:t>
            </w:r>
          </w:p>
          <w:p w14:paraId="32E178B2" w14:textId="77777777" w:rsidR="00D41241" w:rsidRPr="00963D6C" w:rsidRDefault="00BA469C" w:rsidP="00B6013D">
            <w:pPr>
              <w:rPr>
                <w:color w:val="1F497D"/>
                <w:sz w:val="16"/>
                <w:szCs w:val="16"/>
              </w:rPr>
            </w:pPr>
            <w:hyperlink r:id="rId32" w:history="1">
              <w:r w:rsidR="00D41241" w:rsidRPr="00963D6C">
                <w:rPr>
                  <w:rStyle w:val="Hyperlink"/>
                  <w:sz w:val="16"/>
                  <w:szCs w:val="16"/>
                </w:rPr>
                <w:t>https://publicdocumentcentre.education.tas.gov.au/Documents/Launching-into-Learning-Longitudinal-Study-2007-2014-Report-2013.pdf</w:t>
              </w:r>
            </w:hyperlink>
          </w:p>
          <w:p w14:paraId="0EE0046E" w14:textId="77777777" w:rsidR="00D41241" w:rsidRDefault="00D41241" w:rsidP="00B6013D">
            <w:pPr>
              <w:spacing w:line="276" w:lineRule="auto"/>
              <w:rPr>
                <w:color w:val="000000" w:themeColor="text1"/>
              </w:rPr>
            </w:pPr>
          </w:p>
          <w:p w14:paraId="50CB4703" w14:textId="77777777" w:rsidR="00D41241" w:rsidRDefault="00D41241" w:rsidP="005C1C35">
            <w:pPr>
              <w:rPr>
                <w:color w:val="000000" w:themeColor="text1"/>
              </w:rPr>
            </w:pPr>
            <w:r>
              <w:rPr>
                <w:color w:val="000000" w:themeColor="text1"/>
              </w:rPr>
              <w:t>Also includes broader system level evaluation/ review</w:t>
            </w:r>
          </w:p>
          <w:p w14:paraId="54BF2A7B" w14:textId="77777777" w:rsidR="00F82786" w:rsidRDefault="00F82786" w:rsidP="005C1C35">
            <w:pPr>
              <w:rPr>
                <w:color w:val="000000" w:themeColor="text1"/>
              </w:rPr>
            </w:pPr>
          </w:p>
          <w:p w14:paraId="0196A840" w14:textId="77777777" w:rsidR="00F82786" w:rsidRDefault="00F82786" w:rsidP="005C1C35">
            <w:pPr>
              <w:rPr>
                <w:color w:val="000000" w:themeColor="text1"/>
              </w:rPr>
            </w:pPr>
          </w:p>
          <w:p w14:paraId="4316B98A" w14:textId="1750609A" w:rsidR="00F82786" w:rsidRPr="001114EE" w:rsidRDefault="00F82786" w:rsidP="005C1C35">
            <w:pPr>
              <w:rPr>
                <w:rFonts w:ascii="MS Gothic" w:eastAsia="MS Gothic" w:hAnsi="MS Gothic" w:cstheme="minorHAnsi"/>
                <w:color w:val="000000" w:themeColor="text1"/>
              </w:rPr>
            </w:pPr>
          </w:p>
        </w:tc>
      </w:tr>
      <w:tr w:rsidR="00D41241" w:rsidRPr="001114EE" w14:paraId="39C734DA" w14:textId="77777777" w:rsidTr="00BB6F4C">
        <w:tc>
          <w:tcPr>
            <w:tcW w:w="2925" w:type="dxa"/>
            <w:shd w:val="clear" w:color="auto" w:fill="auto"/>
          </w:tcPr>
          <w:p w14:paraId="6CF8958E" w14:textId="77777777" w:rsidR="00D41241" w:rsidRPr="00D73012" w:rsidRDefault="00D41241" w:rsidP="00B6013D">
            <w:pPr>
              <w:rPr>
                <w:i/>
                <w:color w:val="000000" w:themeColor="text1"/>
              </w:rPr>
            </w:pPr>
            <w:r w:rsidRPr="00D73012">
              <w:rPr>
                <w:i/>
                <w:color w:val="000000" w:themeColor="text1"/>
              </w:rPr>
              <w:t>Child Family Centres</w:t>
            </w:r>
          </w:p>
        </w:tc>
        <w:tc>
          <w:tcPr>
            <w:tcW w:w="5704" w:type="dxa"/>
            <w:gridSpan w:val="2"/>
            <w:shd w:val="clear" w:color="auto" w:fill="auto"/>
          </w:tcPr>
          <w:p w14:paraId="178E589B" w14:textId="77777777" w:rsidR="00D41241" w:rsidRDefault="00D41241" w:rsidP="00B6013D">
            <w:pPr>
              <w:rPr>
                <w:color w:val="000000" w:themeColor="text1"/>
              </w:rPr>
            </w:pPr>
            <w:r w:rsidRPr="001114EE">
              <w:rPr>
                <w:color w:val="000000" w:themeColor="text1"/>
              </w:rPr>
              <w:t>Child and Family Centres (CFCs) are designed for children from birth to age 5, and their families to be supported and access health and wellbeing services. CFCs are based in 12 Communities around Tasmania.</w:t>
            </w:r>
          </w:p>
          <w:p w14:paraId="4AE9FB10" w14:textId="77777777" w:rsidR="00D41241" w:rsidRDefault="00BA469C" w:rsidP="00B6013D">
            <w:pPr>
              <w:rPr>
                <w:rFonts w:ascii="Calibri" w:eastAsiaTheme="minorHAnsi" w:hAnsi="Calibri"/>
                <w:color w:val="1F497D"/>
              </w:rPr>
            </w:pPr>
            <w:hyperlink r:id="rId33" w:history="1">
              <w:r w:rsidR="00D41241">
                <w:rPr>
                  <w:rStyle w:val="Hyperlink"/>
                </w:rPr>
                <w:t>https://www.education.tas.gov.au/parents-carers/early-years/child-family-centres/</w:t>
              </w:r>
            </w:hyperlink>
          </w:p>
          <w:p w14:paraId="0D517CF7" w14:textId="77777777" w:rsidR="00D41241" w:rsidRDefault="00D41241" w:rsidP="00B6013D">
            <w:pPr>
              <w:rPr>
                <w:color w:val="1F497D"/>
              </w:rPr>
            </w:pPr>
          </w:p>
          <w:p w14:paraId="0A33D5A4" w14:textId="77777777" w:rsidR="00D41241" w:rsidRDefault="00BA469C" w:rsidP="00B6013D">
            <w:pPr>
              <w:rPr>
                <w:color w:val="1F497D"/>
              </w:rPr>
            </w:pPr>
            <w:hyperlink r:id="rId34" w:history="1">
              <w:r w:rsidR="00D41241">
                <w:rPr>
                  <w:rStyle w:val="Hyperlink"/>
                </w:rPr>
                <w:t>https://greatstart.tas.gov.au/</w:t>
              </w:r>
            </w:hyperlink>
          </w:p>
          <w:p w14:paraId="0197BA1E" w14:textId="77777777" w:rsidR="00D41241" w:rsidRPr="001114EE" w:rsidRDefault="00D41241" w:rsidP="00B6013D">
            <w:pPr>
              <w:rPr>
                <w:color w:val="000000" w:themeColor="text1"/>
              </w:rPr>
            </w:pPr>
          </w:p>
        </w:tc>
        <w:tc>
          <w:tcPr>
            <w:tcW w:w="3802" w:type="dxa"/>
            <w:shd w:val="clear" w:color="auto" w:fill="auto"/>
          </w:tcPr>
          <w:p w14:paraId="34CBB397" w14:textId="77777777" w:rsidR="00D41241" w:rsidRPr="001114EE" w:rsidRDefault="00D41241" w:rsidP="00B6013D">
            <w:pPr>
              <w:rPr>
                <w:color w:val="000000" w:themeColor="text1"/>
              </w:rPr>
            </w:pPr>
            <w:r w:rsidRPr="001114EE">
              <w:rPr>
                <w:color w:val="000000" w:themeColor="text1"/>
              </w:rPr>
              <w:t>Access for children and their families to services</w:t>
            </w:r>
            <w:r>
              <w:rPr>
                <w:color w:val="000000" w:themeColor="text1"/>
              </w:rPr>
              <w:t>, particularly those that support improved child outcomes</w:t>
            </w:r>
          </w:p>
        </w:tc>
        <w:tc>
          <w:tcPr>
            <w:tcW w:w="1744" w:type="dxa"/>
            <w:shd w:val="clear" w:color="auto" w:fill="auto"/>
          </w:tcPr>
          <w:p w14:paraId="1FD0003E" w14:textId="1EE0E8DF" w:rsidR="00D41241" w:rsidRPr="00715A83" w:rsidRDefault="00D41241" w:rsidP="00B6013D">
            <w:pPr>
              <w:rPr>
                <w:color w:val="000000" w:themeColor="text1"/>
              </w:rPr>
            </w:pPr>
            <w:r>
              <w:rPr>
                <w:color w:val="000000" w:themeColor="text1"/>
              </w:rPr>
              <w:t>Internal and External Evaluations</w:t>
            </w:r>
            <w:r w:rsidRPr="001114EE">
              <w:rPr>
                <w:color w:val="000000" w:themeColor="text1"/>
              </w:rPr>
              <w:t xml:space="preserve"> Completed</w:t>
            </w:r>
          </w:p>
          <w:p w14:paraId="09A62035" w14:textId="77777777" w:rsidR="00D41241" w:rsidRPr="00963D6C" w:rsidRDefault="00BA469C" w:rsidP="00B6013D">
            <w:pPr>
              <w:rPr>
                <w:color w:val="000000" w:themeColor="text1"/>
                <w:sz w:val="16"/>
                <w:szCs w:val="16"/>
              </w:rPr>
            </w:pPr>
            <w:hyperlink r:id="rId35" w:history="1">
              <w:r w:rsidR="00D41241" w:rsidRPr="00963D6C">
                <w:rPr>
                  <w:rStyle w:val="Hyperlink"/>
                  <w:color w:val="000000" w:themeColor="text1"/>
                  <w:sz w:val="16"/>
                  <w:szCs w:val="16"/>
                </w:rPr>
                <w:t>https://www.telethonkids.org.au/projects/tassiekids/</w:t>
              </w:r>
            </w:hyperlink>
          </w:p>
          <w:p w14:paraId="452E4CA2" w14:textId="77777777" w:rsidR="00D41241" w:rsidRPr="00715A83" w:rsidRDefault="00D41241" w:rsidP="00B6013D">
            <w:pPr>
              <w:rPr>
                <w:color w:val="000000" w:themeColor="text1"/>
              </w:rPr>
            </w:pPr>
            <w:r w:rsidRPr="00715A83">
              <w:rPr>
                <w:color w:val="000000" w:themeColor="text1"/>
              </w:rPr>
              <w:t>Reports for Tassie Kids will be published in 2020.</w:t>
            </w:r>
          </w:p>
          <w:p w14:paraId="1C3ECDF7" w14:textId="6F5A755E" w:rsidR="00D41241" w:rsidRPr="00715A83" w:rsidRDefault="00D41241" w:rsidP="00B6013D">
            <w:pPr>
              <w:rPr>
                <w:color w:val="000000" w:themeColor="text1"/>
              </w:rPr>
            </w:pPr>
            <w:r w:rsidRPr="00715A83">
              <w:rPr>
                <w:color w:val="000000" w:themeColor="text1"/>
              </w:rPr>
              <w:t>Previous Telethon Kids report on CFCs</w:t>
            </w:r>
            <w:r w:rsidR="005C1C35">
              <w:rPr>
                <w:color w:val="000000" w:themeColor="text1"/>
              </w:rPr>
              <w:t>:</w:t>
            </w:r>
          </w:p>
          <w:p w14:paraId="30703620" w14:textId="77777777" w:rsidR="00D41241" w:rsidRPr="00963D6C" w:rsidRDefault="00BA469C" w:rsidP="00B6013D">
            <w:pPr>
              <w:rPr>
                <w:color w:val="1F497D"/>
                <w:sz w:val="16"/>
                <w:szCs w:val="16"/>
              </w:rPr>
            </w:pPr>
            <w:hyperlink r:id="rId36" w:history="1">
              <w:r w:rsidR="00D41241" w:rsidRPr="00963D6C">
                <w:rPr>
                  <w:rStyle w:val="Hyperlink"/>
                  <w:sz w:val="16"/>
                  <w:szCs w:val="16"/>
                </w:rPr>
                <w:t>https://www.telethonkids.org.au/globalassets/media/documents/brain--behaviour/tas-cfc-evaluation-report-web.pdf</w:t>
              </w:r>
            </w:hyperlink>
          </w:p>
          <w:p w14:paraId="5BD948B5" w14:textId="77777777" w:rsidR="00D41241" w:rsidRPr="001114EE" w:rsidRDefault="00D41241" w:rsidP="00B6013D">
            <w:pPr>
              <w:rPr>
                <w:rFonts w:ascii="MS Gothic" w:eastAsia="MS Gothic" w:hAnsi="MS Gothic" w:cstheme="minorHAnsi"/>
                <w:color w:val="000000" w:themeColor="text1"/>
              </w:rPr>
            </w:pPr>
            <w:r>
              <w:rPr>
                <w:color w:val="000000" w:themeColor="text1"/>
              </w:rPr>
              <w:t>Also includes broader system level evaluation/ review</w:t>
            </w:r>
          </w:p>
        </w:tc>
      </w:tr>
      <w:tr w:rsidR="00D41241" w:rsidRPr="001114EE" w14:paraId="041474EB" w14:textId="77777777" w:rsidTr="00BB6F4C">
        <w:tc>
          <w:tcPr>
            <w:tcW w:w="2925" w:type="dxa"/>
            <w:shd w:val="clear" w:color="auto" w:fill="auto"/>
          </w:tcPr>
          <w:p w14:paraId="2A4354A8" w14:textId="77777777" w:rsidR="00D41241" w:rsidRPr="00D73012" w:rsidRDefault="00D41241" w:rsidP="00B6013D">
            <w:pPr>
              <w:rPr>
                <w:i/>
                <w:color w:val="000000" w:themeColor="text1"/>
              </w:rPr>
            </w:pPr>
            <w:r w:rsidRPr="00D73012">
              <w:rPr>
                <w:i/>
                <w:color w:val="000000" w:themeColor="text1"/>
              </w:rPr>
              <w:t xml:space="preserve">Working Together – supporting early learning </w:t>
            </w:r>
          </w:p>
        </w:tc>
        <w:tc>
          <w:tcPr>
            <w:tcW w:w="5704" w:type="dxa"/>
            <w:gridSpan w:val="2"/>
            <w:shd w:val="clear" w:color="auto" w:fill="auto"/>
          </w:tcPr>
          <w:p w14:paraId="7413731D" w14:textId="77777777" w:rsidR="00D41241" w:rsidRDefault="00D41241" w:rsidP="00B6013D">
            <w:pPr>
              <w:rPr>
                <w:color w:val="000000" w:themeColor="text1"/>
              </w:rPr>
            </w:pPr>
            <w:r w:rsidRPr="001114EE">
              <w:rPr>
                <w:color w:val="000000" w:themeColor="text1"/>
              </w:rPr>
              <w:t>Provides eligible children experiencing vulnerability and/or disadvantage with access to government-subsidised free early learning places at quality education and care services</w:t>
            </w:r>
          </w:p>
          <w:p w14:paraId="293427AE" w14:textId="77777777" w:rsidR="00D41241" w:rsidRDefault="00BA469C" w:rsidP="00B6013D">
            <w:pPr>
              <w:rPr>
                <w:rFonts w:ascii="Calibri" w:eastAsiaTheme="minorHAnsi" w:hAnsi="Calibri"/>
                <w:color w:val="1F497D"/>
              </w:rPr>
            </w:pPr>
            <w:hyperlink r:id="rId37" w:history="1">
              <w:r w:rsidR="00D41241">
                <w:rPr>
                  <w:rStyle w:val="Hyperlink"/>
                </w:rPr>
                <w:t>https://www.education.tas.gov.au/about-us/projects/working-together/</w:t>
              </w:r>
            </w:hyperlink>
          </w:p>
          <w:p w14:paraId="50E319B3" w14:textId="77777777" w:rsidR="00D41241" w:rsidRDefault="00D41241" w:rsidP="00B6013D">
            <w:pPr>
              <w:rPr>
                <w:color w:val="1F497D"/>
              </w:rPr>
            </w:pPr>
            <w:r>
              <w:rPr>
                <w:color w:val="1F497D"/>
              </w:rPr>
              <w:t> </w:t>
            </w:r>
          </w:p>
          <w:p w14:paraId="335DB98D" w14:textId="77777777" w:rsidR="00D41241" w:rsidRPr="001114EE" w:rsidRDefault="00D41241" w:rsidP="00B6013D">
            <w:pPr>
              <w:rPr>
                <w:color w:val="000000" w:themeColor="text1"/>
              </w:rPr>
            </w:pPr>
          </w:p>
        </w:tc>
        <w:tc>
          <w:tcPr>
            <w:tcW w:w="3802" w:type="dxa"/>
            <w:shd w:val="clear" w:color="auto" w:fill="auto"/>
          </w:tcPr>
          <w:p w14:paraId="2DA421AD" w14:textId="77777777" w:rsidR="00D41241" w:rsidRPr="001114EE" w:rsidRDefault="00D41241" w:rsidP="00B6013D">
            <w:pPr>
              <w:rPr>
                <w:color w:val="000000" w:themeColor="text1"/>
              </w:rPr>
            </w:pPr>
            <w:r w:rsidRPr="001114EE">
              <w:rPr>
                <w:color w:val="000000" w:themeColor="text1"/>
              </w:rPr>
              <w:t xml:space="preserve">Increase participation in quality early learning </w:t>
            </w:r>
          </w:p>
        </w:tc>
        <w:tc>
          <w:tcPr>
            <w:tcW w:w="1744" w:type="dxa"/>
            <w:shd w:val="clear" w:color="auto" w:fill="auto"/>
          </w:tcPr>
          <w:p w14:paraId="5A5AAE6D" w14:textId="24E79EF1" w:rsidR="00D41241" w:rsidRPr="005C1C35" w:rsidRDefault="005C1C35" w:rsidP="00B6013D">
            <w:pPr>
              <w:rPr>
                <w:rFonts w:cstheme="minorHAnsi"/>
              </w:rPr>
            </w:pPr>
            <w:r>
              <w:rPr>
                <w:rFonts w:cstheme="minorHAnsi"/>
              </w:rPr>
              <w:t>External evaluation completed</w:t>
            </w:r>
          </w:p>
          <w:p w14:paraId="63E284FB" w14:textId="77777777" w:rsidR="00D41241" w:rsidRPr="00963D6C" w:rsidRDefault="00BA469C" w:rsidP="00B6013D">
            <w:pPr>
              <w:spacing w:line="240" w:lineRule="atLeast"/>
              <w:rPr>
                <w:rFonts w:cs="Times New Roman"/>
                <w:color w:val="1F497D"/>
                <w:sz w:val="16"/>
                <w:szCs w:val="16"/>
              </w:rPr>
            </w:pPr>
            <w:hyperlink r:id="rId38" w:history="1">
              <w:r w:rsidR="00D41241" w:rsidRPr="00963D6C">
                <w:rPr>
                  <w:rStyle w:val="Hyperlink"/>
                  <w:sz w:val="16"/>
                  <w:szCs w:val="16"/>
                </w:rPr>
                <w:t>https://publicdocumentcentre.education.tas.gov.au/Documents/WT3-Pilot-Evaluation-Report-Clear-Horizon.pdf</w:t>
              </w:r>
            </w:hyperlink>
          </w:p>
        </w:tc>
      </w:tr>
    </w:tbl>
    <w:p w14:paraId="18E275E6" w14:textId="1E3D9342" w:rsidR="00FA0D1A" w:rsidRDefault="00FA0D1A" w:rsidP="00D41241"/>
    <w:p w14:paraId="5ABABDED" w14:textId="7180E846" w:rsidR="00FA0D1A" w:rsidRDefault="00192655" w:rsidP="00D41241">
      <w:r>
        <w:br w:type="column"/>
      </w:r>
    </w:p>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7"/>
        <w:gridCol w:w="5703"/>
        <w:gridCol w:w="3801"/>
        <w:gridCol w:w="1743"/>
      </w:tblGrid>
      <w:tr w:rsidR="008C1B4B" w:rsidRPr="002B22A8" w14:paraId="0ABE254F" w14:textId="50C226B7" w:rsidTr="00BB6F4C">
        <w:tc>
          <w:tcPr>
            <w:tcW w:w="2928" w:type="dxa"/>
            <w:shd w:val="clear" w:color="auto" w:fill="BFBFBF" w:themeFill="background1" w:themeFillShade="BF"/>
          </w:tcPr>
          <w:p w14:paraId="5347C88B" w14:textId="77777777" w:rsidR="008C1B4B" w:rsidRDefault="008C1B4B" w:rsidP="00B6013D">
            <w:pPr>
              <w:rPr>
                <w:b/>
                <w:color w:val="002060"/>
              </w:rPr>
            </w:pPr>
          </w:p>
          <w:p w14:paraId="70A89C26" w14:textId="4D1900FD" w:rsidR="008C1B4B" w:rsidRPr="002B22A8" w:rsidRDefault="008C1B4B" w:rsidP="00B6013D">
            <w:pPr>
              <w:rPr>
                <w:rFonts w:eastAsia="Times New Roman"/>
                <w:color w:val="000000"/>
                <w:spacing w:val="2"/>
              </w:rPr>
            </w:pPr>
            <w:r>
              <w:rPr>
                <w:b/>
                <w:color w:val="002060"/>
              </w:rPr>
              <w:t>Victoria</w:t>
            </w:r>
          </w:p>
          <w:p w14:paraId="0F7B5D7C" w14:textId="77777777" w:rsidR="008C1B4B" w:rsidRPr="002B22A8" w:rsidRDefault="008C1B4B" w:rsidP="00B6013D">
            <w:pPr>
              <w:rPr>
                <w:rFonts w:eastAsia="Times New Roman"/>
                <w:color w:val="000000"/>
                <w:spacing w:val="2"/>
              </w:rPr>
            </w:pPr>
          </w:p>
        </w:tc>
        <w:tc>
          <w:tcPr>
            <w:tcW w:w="11247" w:type="dxa"/>
            <w:gridSpan w:val="3"/>
            <w:shd w:val="clear" w:color="auto" w:fill="F2F2F2" w:themeFill="background1" w:themeFillShade="F2"/>
          </w:tcPr>
          <w:p w14:paraId="1CD2C4EF" w14:textId="77777777" w:rsidR="008C1B4B" w:rsidRDefault="008C1B4B">
            <w:pPr>
              <w:rPr>
                <w:rFonts w:eastAsia="Times New Roman"/>
                <w:color w:val="000000"/>
                <w:spacing w:val="2"/>
              </w:rPr>
            </w:pPr>
          </w:p>
          <w:p w14:paraId="2FA6F8A6" w14:textId="287809F2" w:rsidR="008C1B4B" w:rsidRDefault="008C1B4B" w:rsidP="00B6013D">
            <w:r>
              <w:t>Strategy Focus: While there is no current overarching strategy, The Early Childhood Reform Plan outlines the Victorian Government’s vision for the early years. This plan will deliver systemic change, targeted at supporting the children who need it most.</w:t>
            </w:r>
          </w:p>
          <w:p w14:paraId="43541D63" w14:textId="76BF9AEA" w:rsidR="008C1B4B" w:rsidRPr="002B22A8" w:rsidRDefault="008C1B4B" w:rsidP="00B6013D">
            <w:pPr>
              <w:rPr>
                <w:rFonts w:eastAsia="Times New Roman"/>
                <w:color w:val="000000"/>
                <w:spacing w:val="2"/>
              </w:rPr>
            </w:pPr>
          </w:p>
        </w:tc>
      </w:tr>
      <w:tr w:rsidR="00D41241" w:rsidRPr="00961318" w14:paraId="7CB9A0DC" w14:textId="77777777" w:rsidTr="00BB6F4C">
        <w:trPr>
          <w:tblHeader/>
        </w:trPr>
        <w:tc>
          <w:tcPr>
            <w:tcW w:w="2928" w:type="dxa"/>
            <w:tcBorders>
              <w:top w:val="single" w:sz="4" w:space="0" w:color="auto"/>
              <w:left w:val="single" w:sz="4" w:space="0" w:color="auto"/>
            </w:tcBorders>
            <w:shd w:val="clear" w:color="auto" w:fill="auto"/>
          </w:tcPr>
          <w:p w14:paraId="3BA9F136" w14:textId="77777777" w:rsidR="00D41241" w:rsidRPr="00961318" w:rsidRDefault="00D41241" w:rsidP="00B6013D">
            <w:pPr>
              <w:rPr>
                <w:b/>
                <w:color w:val="002060"/>
              </w:rPr>
            </w:pPr>
            <w:r w:rsidRPr="00961318">
              <w:rPr>
                <w:b/>
                <w:color w:val="002060"/>
              </w:rPr>
              <w:t>Program or initiative</w:t>
            </w:r>
          </w:p>
        </w:tc>
        <w:tc>
          <w:tcPr>
            <w:tcW w:w="5703" w:type="dxa"/>
            <w:tcBorders>
              <w:top w:val="single" w:sz="4" w:space="0" w:color="auto"/>
            </w:tcBorders>
            <w:shd w:val="clear" w:color="auto" w:fill="auto"/>
          </w:tcPr>
          <w:p w14:paraId="01977039" w14:textId="77777777" w:rsidR="00D41241" w:rsidRPr="00961318" w:rsidRDefault="00D41241" w:rsidP="00B6013D">
            <w:pPr>
              <w:rPr>
                <w:b/>
                <w:color w:val="002060"/>
              </w:rPr>
            </w:pPr>
            <w:r>
              <w:rPr>
                <w:b/>
                <w:color w:val="002060"/>
              </w:rPr>
              <w:t xml:space="preserve">Details </w:t>
            </w:r>
          </w:p>
        </w:tc>
        <w:tc>
          <w:tcPr>
            <w:tcW w:w="3801" w:type="dxa"/>
            <w:shd w:val="clear" w:color="auto" w:fill="auto"/>
          </w:tcPr>
          <w:p w14:paraId="29B8F8C0" w14:textId="77777777" w:rsidR="00D41241" w:rsidRPr="00961318" w:rsidRDefault="00D41241" w:rsidP="00B6013D">
            <w:pPr>
              <w:rPr>
                <w:b/>
                <w:color w:val="002060"/>
              </w:rPr>
            </w:pPr>
            <w:r w:rsidRPr="00961318">
              <w:rPr>
                <w:b/>
                <w:color w:val="002060"/>
              </w:rPr>
              <w:t>Key drivers</w:t>
            </w:r>
          </w:p>
        </w:tc>
        <w:tc>
          <w:tcPr>
            <w:tcW w:w="1743" w:type="dxa"/>
          </w:tcPr>
          <w:p w14:paraId="382BA083" w14:textId="77777777" w:rsidR="00D41241" w:rsidRPr="00961318" w:rsidRDefault="00D41241" w:rsidP="00B6013D">
            <w:pPr>
              <w:rPr>
                <w:b/>
                <w:color w:val="002060"/>
              </w:rPr>
            </w:pPr>
            <w:r>
              <w:rPr>
                <w:b/>
                <w:color w:val="002060"/>
              </w:rPr>
              <w:t>Evaluation?</w:t>
            </w:r>
          </w:p>
        </w:tc>
      </w:tr>
      <w:tr w:rsidR="00D41241" w:rsidRPr="005E03A2" w14:paraId="24AF16BD" w14:textId="77777777" w:rsidTr="00BB6F4C">
        <w:tc>
          <w:tcPr>
            <w:tcW w:w="2928" w:type="dxa"/>
            <w:tcBorders>
              <w:top w:val="single" w:sz="4" w:space="0" w:color="auto"/>
              <w:left w:val="single" w:sz="4" w:space="0" w:color="auto"/>
              <w:bottom w:val="single" w:sz="4" w:space="0" w:color="auto"/>
              <w:right w:val="single" w:sz="4" w:space="0" w:color="auto"/>
            </w:tcBorders>
            <w:shd w:val="clear" w:color="auto" w:fill="auto"/>
          </w:tcPr>
          <w:p w14:paraId="785D0337" w14:textId="77777777" w:rsidR="00D41241" w:rsidRPr="005E03A2" w:rsidRDefault="00D41241" w:rsidP="00B6013D">
            <w:pPr>
              <w:rPr>
                <w:i/>
              </w:rPr>
            </w:pPr>
            <w:r w:rsidRPr="005E03A2">
              <w:rPr>
                <w:i/>
              </w:rPr>
              <w:t>Koorie Kids Shine</w:t>
            </w:r>
          </w:p>
          <w:p w14:paraId="23515961" w14:textId="77777777" w:rsidR="00D41241" w:rsidRPr="005E03A2" w:rsidRDefault="00D41241" w:rsidP="00B6013D">
            <w:pPr>
              <w:rPr>
                <w:i/>
              </w:rPr>
            </w:pPr>
          </w:p>
          <w:p w14:paraId="02DEB695" w14:textId="77777777" w:rsidR="00D41241" w:rsidRPr="005E03A2" w:rsidRDefault="00D41241" w:rsidP="00B6013D">
            <w:pPr>
              <w:rPr>
                <w:i/>
              </w:rPr>
            </w:pPr>
          </w:p>
        </w:tc>
        <w:tc>
          <w:tcPr>
            <w:tcW w:w="5703" w:type="dxa"/>
            <w:tcBorders>
              <w:top w:val="single" w:sz="4" w:space="0" w:color="auto"/>
              <w:left w:val="single" w:sz="4" w:space="0" w:color="auto"/>
              <w:bottom w:val="single" w:sz="4" w:space="0" w:color="auto"/>
              <w:right w:val="single" w:sz="4" w:space="0" w:color="auto"/>
            </w:tcBorders>
            <w:shd w:val="clear" w:color="auto" w:fill="auto"/>
          </w:tcPr>
          <w:p w14:paraId="220592C5" w14:textId="5C12DA63" w:rsidR="00D41241" w:rsidRDefault="00D41241" w:rsidP="00B6013D">
            <w:pPr>
              <w:rPr>
                <w:color w:val="000000"/>
              </w:rPr>
            </w:pPr>
            <w:r>
              <w:rPr>
                <w:color w:val="000000"/>
              </w:rPr>
              <w:t xml:space="preserve">Initiative is aimed at improving the awareness and availability of kindergarten for </w:t>
            </w:r>
            <w:r w:rsidRPr="005E03A2">
              <w:rPr>
                <w:color w:val="000000"/>
              </w:rPr>
              <w:t>Aboriginal and Torres Strait Islander children</w:t>
            </w:r>
            <w:r>
              <w:rPr>
                <w:color w:val="000000"/>
              </w:rPr>
              <w:t>.</w:t>
            </w:r>
          </w:p>
          <w:p w14:paraId="5A50EDF1" w14:textId="77777777" w:rsidR="00D464BF" w:rsidRDefault="00D464BF" w:rsidP="00B6013D">
            <w:pPr>
              <w:rPr>
                <w:color w:val="000000"/>
              </w:rPr>
            </w:pPr>
          </w:p>
          <w:p w14:paraId="4ADC46F0" w14:textId="77777777" w:rsidR="00D41241" w:rsidRPr="005E03A2" w:rsidRDefault="00D41241" w:rsidP="00B6013D">
            <w:pPr>
              <w:rPr>
                <w:color w:val="000000"/>
              </w:rPr>
            </w:pPr>
            <w:r w:rsidRPr="00B22BFA">
              <w:rPr>
                <w:color w:val="000000"/>
              </w:rPr>
              <w:t>Internal evaluation of the effectiveness of the strategy was undertaken, to inform the next phase of intervention.  The evaluation is not publically available.</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9A47F0" w14:textId="77777777" w:rsidR="00D41241" w:rsidRPr="005E03A2" w:rsidRDefault="00D41241" w:rsidP="00B6013D">
            <w:r w:rsidRPr="005E03A2">
              <w:t>Increasing participation in kindergarten</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CC6D1D3" w14:textId="77777777" w:rsidR="00D41241" w:rsidRDefault="00D41241" w:rsidP="00B6013D">
            <w:r>
              <w:t>Internal Evaluation Completed</w:t>
            </w:r>
          </w:p>
          <w:p w14:paraId="526C6D6F" w14:textId="77777777" w:rsidR="00D41241" w:rsidRPr="005E03A2" w:rsidRDefault="00D41241" w:rsidP="00B6013D">
            <w:pPr>
              <w:ind w:left="216"/>
              <w:rPr>
                <w:rFonts w:ascii="MS Gothic" w:eastAsia="MS Gothic" w:hAnsi="MS Gothic" w:cstheme="minorHAnsi"/>
              </w:rPr>
            </w:pPr>
          </w:p>
        </w:tc>
      </w:tr>
      <w:tr w:rsidR="00D41241" w:rsidRPr="005E03A2" w14:paraId="183C9D00" w14:textId="77777777" w:rsidTr="00BB6F4C">
        <w:tc>
          <w:tcPr>
            <w:tcW w:w="2928" w:type="dxa"/>
            <w:tcBorders>
              <w:top w:val="single" w:sz="4" w:space="0" w:color="auto"/>
              <w:left w:val="single" w:sz="4" w:space="0" w:color="auto"/>
              <w:bottom w:val="single" w:sz="4" w:space="0" w:color="auto"/>
              <w:right w:val="single" w:sz="4" w:space="0" w:color="auto"/>
            </w:tcBorders>
            <w:shd w:val="clear" w:color="auto" w:fill="auto"/>
          </w:tcPr>
          <w:p w14:paraId="6C081B36" w14:textId="77777777" w:rsidR="00D41241" w:rsidRPr="005E03A2" w:rsidRDefault="00D41241" w:rsidP="00B6013D">
            <w:pPr>
              <w:rPr>
                <w:i/>
              </w:rPr>
            </w:pPr>
            <w:r w:rsidRPr="005E03A2">
              <w:rPr>
                <w:i/>
              </w:rPr>
              <w:t>Kindergarten for all Three-Year Old Children</w:t>
            </w:r>
          </w:p>
        </w:tc>
        <w:tc>
          <w:tcPr>
            <w:tcW w:w="5703" w:type="dxa"/>
            <w:tcBorders>
              <w:top w:val="single" w:sz="4" w:space="0" w:color="auto"/>
              <w:left w:val="single" w:sz="4" w:space="0" w:color="auto"/>
              <w:bottom w:val="single" w:sz="4" w:space="0" w:color="auto"/>
              <w:right w:val="single" w:sz="4" w:space="0" w:color="auto"/>
            </w:tcBorders>
            <w:shd w:val="clear" w:color="auto" w:fill="auto"/>
          </w:tcPr>
          <w:p w14:paraId="0E08DC8F" w14:textId="77777777" w:rsidR="00D41241" w:rsidRPr="005E03A2" w:rsidRDefault="00D41241" w:rsidP="00B6013D">
            <w:pPr>
              <w:rPr>
                <w:color w:val="000000"/>
              </w:rPr>
            </w:pPr>
            <w:r w:rsidRPr="005E03A2">
              <w:rPr>
                <w:color w:val="000000"/>
              </w:rPr>
              <w:t>A subsidised kindergarten program for all three year olds so that every child will have access to two years of kindergarten from 2020</w:t>
            </w:r>
            <w:r>
              <w:rPr>
                <w:color w:val="000000"/>
              </w:rPr>
              <w:t>.</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50209D5" w14:textId="77777777" w:rsidR="00D41241" w:rsidRPr="005E03A2" w:rsidRDefault="00D41241" w:rsidP="00B6013D">
            <w:r w:rsidRPr="005E03A2">
              <w:t>Increasing access to Kindergarten to two years</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A3FE67A" w14:textId="77777777" w:rsidR="00D41241" w:rsidRDefault="00D41241" w:rsidP="00B6013D">
            <w:r>
              <w:t xml:space="preserve">No Evaluation </w:t>
            </w:r>
          </w:p>
          <w:p w14:paraId="4079B5B4" w14:textId="77777777" w:rsidR="00D41241" w:rsidRPr="005E03A2" w:rsidRDefault="00D41241" w:rsidP="00B6013D">
            <w:pPr>
              <w:ind w:left="216"/>
              <w:rPr>
                <w:rFonts w:ascii="MS Gothic" w:eastAsia="MS Gothic" w:hAnsi="MS Gothic" w:cstheme="minorHAnsi"/>
              </w:rPr>
            </w:pPr>
          </w:p>
        </w:tc>
      </w:tr>
      <w:tr w:rsidR="00D41241" w:rsidRPr="005E03A2" w14:paraId="09504428" w14:textId="77777777" w:rsidTr="00BB6F4C">
        <w:tc>
          <w:tcPr>
            <w:tcW w:w="2928" w:type="dxa"/>
            <w:tcBorders>
              <w:top w:val="single" w:sz="4" w:space="0" w:color="auto"/>
              <w:left w:val="single" w:sz="4" w:space="0" w:color="auto"/>
              <w:bottom w:val="single" w:sz="4" w:space="0" w:color="auto"/>
              <w:right w:val="single" w:sz="4" w:space="0" w:color="auto"/>
            </w:tcBorders>
            <w:shd w:val="clear" w:color="auto" w:fill="auto"/>
          </w:tcPr>
          <w:p w14:paraId="685FBDF9" w14:textId="77777777" w:rsidR="00D41241" w:rsidRPr="005E03A2" w:rsidRDefault="00D41241" w:rsidP="00B6013D">
            <w:pPr>
              <w:rPr>
                <w:i/>
              </w:rPr>
            </w:pPr>
            <w:r w:rsidRPr="005E03A2">
              <w:rPr>
                <w:i/>
              </w:rPr>
              <w:t>CALD Communications Pilot</w:t>
            </w:r>
          </w:p>
        </w:tc>
        <w:tc>
          <w:tcPr>
            <w:tcW w:w="5703" w:type="dxa"/>
            <w:tcBorders>
              <w:top w:val="single" w:sz="4" w:space="0" w:color="auto"/>
              <w:left w:val="single" w:sz="4" w:space="0" w:color="auto"/>
              <w:bottom w:val="single" w:sz="4" w:space="0" w:color="auto"/>
              <w:right w:val="single" w:sz="4" w:space="0" w:color="auto"/>
            </w:tcBorders>
            <w:shd w:val="clear" w:color="auto" w:fill="auto"/>
          </w:tcPr>
          <w:p w14:paraId="3C07E368" w14:textId="77777777" w:rsidR="00D41241" w:rsidRPr="005E03A2" w:rsidRDefault="00D41241" w:rsidP="00B6013D">
            <w:pPr>
              <w:rPr>
                <w:color w:val="000000"/>
              </w:rPr>
            </w:pPr>
            <w:r w:rsidRPr="005E03A2">
              <w:rPr>
                <w:color w:val="000000"/>
              </w:rPr>
              <w:t xml:space="preserve">A Culturally and Linguistically Diverse (CALD) communications pilot to increase awareness and participation amongst CALD communities. </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15ABE07B" w14:textId="77777777" w:rsidR="00D41241" w:rsidRPr="005E03A2" w:rsidRDefault="00D41241" w:rsidP="00B6013D">
            <w:r w:rsidRPr="005E03A2">
              <w:t>Increasing participation to Kindergarten for CALD communities</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DCF7E09" w14:textId="77777777" w:rsidR="00D41241" w:rsidRDefault="00D41241" w:rsidP="00B6013D">
            <w:r>
              <w:t xml:space="preserve">No Evaluation </w:t>
            </w:r>
          </w:p>
          <w:p w14:paraId="1C2317AF" w14:textId="77777777" w:rsidR="00D41241" w:rsidRPr="005E03A2" w:rsidRDefault="00D41241" w:rsidP="00B6013D">
            <w:pPr>
              <w:ind w:left="216"/>
              <w:rPr>
                <w:rFonts w:ascii="MS Gothic" w:eastAsia="MS Gothic" w:hAnsi="MS Gothic" w:cstheme="minorHAnsi"/>
              </w:rPr>
            </w:pPr>
          </w:p>
        </w:tc>
      </w:tr>
      <w:tr w:rsidR="00D41241" w:rsidRPr="005E03A2" w14:paraId="19BE99A3" w14:textId="77777777" w:rsidTr="00BB6F4C">
        <w:tc>
          <w:tcPr>
            <w:tcW w:w="2928" w:type="dxa"/>
            <w:tcBorders>
              <w:top w:val="single" w:sz="4" w:space="0" w:color="auto"/>
              <w:left w:val="single" w:sz="4" w:space="0" w:color="auto"/>
              <w:bottom w:val="single" w:sz="4" w:space="0" w:color="auto"/>
              <w:right w:val="single" w:sz="4" w:space="0" w:color="auto"/>
            </w:tcBorders>
            <w:shd w:val="clear" w:color="auto" w:fill="auto"/>
          </w:tcPr>
          <w:p w14:paraId="6753731E" w14:textId="77777777" w:rsidR="00D41241" w:rsidRPr="00D73012" w:rsidRDefault="00D41241" w:rsidP="00B6013D">
            <w:pPr>
              <w:rPr>
                <w:i/>
              </w:rPr>
            </w:pPr>
            <w:r w:rsidRPr="00D73012">
              <w:rPr>
                <w:i/>
              </w:rPr>
              <w:t>Kindergarten Attendance Pilot</w:t>
            </w:r>
          </w:p>
        </w:tc>
        <w:tc>
          <w:tcPr>
            <w:tcW w:w="5703" w:type="dxa"/>
            <w:tcBorders>
              <w:top w:val="single" w:sz="4" w:space="0" w:color="auto"/>
              <w:left w:val="single" w:sz="4" w:space="0" w:color="auto"/>
              <w:bottom w:val="single" w:sz="4" w:space="0" w:color="auto"/>
              <w:right w:val="single" w:sz="4" w:space="0" w:color="auto"/>
            </w:tcBorders>
            <w:shd w:val="clear" w:color="auto" w:fill="auto"/>
          </w:tcPr>
          <w:p w14:paraId="077435C5" w14:textId="77777777" w:rsidR="00D41241" w:rsidRPr="005E03A2" w:rsidRDefault="00D41241" w:rsidP="00B6013D">
            <w:pPr>
              <w:rPr>
                <w:color w:val="000000"/>
              </w:rPr>
            </w:pPr>
            <w:r w:rsidRPr="005E03A2">
              <w:rPr>
                <w:color w:val="000000"/>
              </w:rPr>
              <w:t xml:space="preserve">Small project in two local govt. areas that </w:t>
            </w:r>
            <w:r>
              <w:rPr>
                <w:color w:val="000000"/>
              </w:rPr>
              <w:t xml:space="preserve">will </w:t>
            </w:r>
            <w:r w:rsidRPr="005E03A2">
              <w:rPr>
                <w:color w:val="000000"/>
              </w:rPr>
              <w:t>explore options on how best to capture kindergarten attendance information.</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103F8150" w14:textId="77777777" w:rsidR="00D41241" w:rsidRPr="005E03A2" w:rsidRDefault="00D41241" w:rsidP="00B6013D">
            <w:r>
              <w:t>Identifying how to best to capture attendance data to better u</w:t>
            </w:r>
            <w:r w:rsidRPr="005E03A2">
              <w:t>nderstand attendance patterns and trends in Kindergarten</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F509D1F" w14:textId="77777777" w:rsidR="00D41241" w:rsidRDefault="00D41241" w:rsidP="00B6013D">
            <w:r>
              <w:t xml:space="preserve">No Evaluation </w:t>
            </w:r>
          </w:p>
          <w:p w14:paraId="02A89DE9" w14:textId="77777777" w:rsidR="00D41241" w:rsidRPr="005E03A2" w:rsidRDefault="00D41241" w:rsidP="00B6013D">
            <w:pPr>
              <w:ind w:left="216"/>
              <w:rPr>
                <w:rFonts w:ascii="MS Gothic" w:eastAsia="MS Gothic" w:hAnsi="MS Gothic" w:cstheme="minorHAnsi"/>
              </w:rPr>
            </w:pPr>
          </w:p>
        </w:tc>
      </w:tr>
      <w:tr w:rsidR="00D41241" w:rsidRPr="00DE19C8" w14:paraId="06A0B4C2" w14:textId="77777777" w:rsidTr="00BB6F4C">
        <w:tc>
          <w:tcPr>
            <w:tcW w:w="2928" w:type="dxa"/>
            <w:tcBorders>
              <w:top w:val="single" w:sz="4" w:space="0" w:color="auto"/>
              <w:left w:val="single" w:sz="4" w:space="0" w:color="auto"/>
              <w:bottom w:val="single" w:sz="4" w:space="0" w:color="auto"/>
              <w:right w:val="single" w:sz="4" w:space="0" w:color="auto"/>
            </w:tcBorders>
            <w:shd w:val="clear" w:color="auto" w:fill="auto"/>
          </w:tcPr>
          <w:p w14:paraId="4018B937" w14:textId="32998717" w:rsidR="00D41241" w:rsidRPr="00D73012" w:rsidRDefault="00745629" w:rsidP="00B6013D">
            <w:pPr>
              <w:rPr>
                <w:rFonts w:cs="Calibri"/>
                <w:i/>
                <w:highlight w:val="yellow"/>
              </w:rPr>
            </w:pPr>
            <w:r>
              <w:rPr>
                <w:rFonts w:cs="Calibri"/>
                <w:i/>
              </w:rPr>
              <w:t>School Readiness funding</w:t>
            </w:r>
          </w:p>
        </w:tc>
        <w:tc>
          <w:tcPr>
            <w:tcW w:w="5703" w:type="dxa"/>
            <w:tcBorders>
              <w:top w:val="single" w:sz="4" w:space="0" w:color="auto"/>
              <w:left w:val="single" w:sz="4" w:space="0" w:color="auto"/>
              <w:bottom w:val="single" w:sz="4" w:space="0" w:color="auto"/>
              <w:right w:val="single" w:sz="4" w:space="0" w:color="auto"/>
            </w:tcBorders>
            <w:shd w:val="clear" w:color="auto" w:fill="auto"/>
          </w:tcPr>
          <w:p w14:paraId="0F8649E7" w14:textId="3249063B" w:rsidR="00D41241" w:rsidRDefault="00745629" w:rsidP="00B6013D">
            <w:pPr>
              <w:pStyle w:val="ListParagraph"/>
              <w:ind w:left="0"/>
            </w:pPr>
            <w:r>
              <w:t xml:space="preserve">Sc School </w:t>
            </w:r>
            <w:r w:rsidR="00D41241" w:rsidRPr="004658D6">
              <w:t>Readiness Funding assists kindergarten services to access programs</w:t>
            </w:r>
            <w:r w:rsidR="00D41241">
              <w:t xml:space="preserve"> </w:t>
            </w:r>
            <w:r w:rsidR="00D41241" w:rsidRPr="004658D6">
              <w:t>and supports, and engage with speci</w:t>
            </w:r>
            <w:r w:rsidR="00D41241">
              <w:t xml:space="preserve">alists such as speech pathology </w:t>
            </w:r>
            <w:r w:rsidR="00D41241" w:rsidRPr="004658D6">
              <w:t>and language and literacy experts who can help children and build the</w:t>
            </w:r>
            <w:r w:rsidR="00D41241">
              <w:t xml:space="preserve"> </w:t>
            </w:r>
            <w:r w:rsidR="00D41241" w:rsidRPr="004658D6">
              <w:t>capabilities of families and educators. Services are already using School</w:t>
            </w:r>
            <w:r w:rsidR="00D41241">
              <w:t xml:space="preserve"> </w:t>
            </w:r>
            <w:r w:rsidR="00D41241" w:rsidRPr="004658D6">
              <w:t>Readiness Funding to improve children’s participation. For example,</w:t>
            </w:r>
            <w:r w:rsidR="00D41241">
              <w:t xml:space="preserve"> </w:t>
            </w:r>
            <w:r w:rsidR="00D41241" w:rsidRPr="004658D6">
              <w:t>breakfast clubs are reducing barriers to participation for vulnerable families,</w:t>
            </w:r>
            <w:r w:rsidR="00D41241">
              <w:t xml:space="preserve"> </w:t>
            </w:r>
            <w:r w:rsidR="00D41241" w:rsidRPr="004658D6">
              <w:t>and trained facilitators are working to engage vulnerable families known to</w:t>
            </w:r>
            <w:r w:rsidR="00D41241">
              <w:t xml:space="preserve"> </w:t>
            </w:r>
            <w:r w:rsidR="00D41241" w:rsidRPr="004658D6">
              <w:t>child protection</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2DCDCB02" w14:textId="77777777" w:rsidR="00D41241" w:rsidRPr="00DE19C8" w:rsidRDefault="00D41241" w:rsidP="00B6013D">
            <w:pPr>
              <w:rPr>
                <w:rFonts w:cs="Calibri"/>
              </w:rPr>
            </w:pPr>
            <w:r>
              <w:rPr>
                <w:color w:val="0B0C1D"/>
                <w:lang w:val="en"/>
              </w:rPr>
              <w:t>Extra support for kindergartens to help children to get the most out of their early learning</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AF1C605" w14:textId="77777777" w:rsidR="00D41241" w:rsidRPr="00DE19C8" w:rsidRDefault="00D41241" w:rsidP="00B6013D">
            <w:pPr>
              <w:rPr>
                <w:rFonts w:cstheme="minorHAnsi"/>
              </w:rPr>
            </w:pPr>
            <w:r w:rsidRPr="00DE19C8">
              <w:rPr>
                <w:rFonts w:cstheme="minorHAnsi"/>
              </w:rPr>
              <w:t xml:space="preserve">No Evaluation </w:t>
            </w:r>
          </w:p>
          <w:p w14:paraId="384693CB" w14:textId="77777777" w:rsidR="00D41241" w:rsidRPr="00DE19C8" w:rsidRDefault="00D41241" w:rsidP="00B6013D">
            <w:pPr>
              <w:rPr>
                <w:rFonts w:ascii="Segoe UI Symbol" w:hAnsi="Segoe UI Symbol" w:cs="Segoe UI Symbol"/>
              </w:rPr>
            </w:pPr>
          </w:p>
        </w:tc>
      </w:tr>
      <w:tr w:rsidR="00D41241" w:rsidRPr="00DE19C8" w14:paraId="778193CD" w14:textId="77777777" w:rsidTr="00BB6F4C">
        <w:tc>
          <w:tcPr>
            <w:tcW w:w="2928" w:type="dxa"/>
            <w:tcBorders>
              <w:top w:val="single" w:sz="4" w:space="0" w:color="auto"/>
              <w:left w:val="single" w:sz="4" w:space="0" w:color="auto"/>
              <w:bottom w:val="single" w:sz="4" w:space="0" w:color="auto"/>
              <w:right w:val="single" w:sz="4" w:space="0" w:color="auto"/>
            </w:tcBorders>
            <w:shd w:val="clear" w:color="auto" w:fill="auto"/>
          </w:tcPr>
          <w:p w14:paraId="5E431A11" w14:textId="77777777" w:rsidR="00D41241" w:rsidRPr="00D73012" w:rsidRDefault="00D41241" w:rsidP="00B6013D">
            <w:pPr>
              <w:rPr>
                <w:rFonts w:cs="Calibri"/>
                <w:i/>
              </w:rPr>
            </w:pPr>
            <w:r w:rsidRPr="00D73012">
              <w:rPr>
                <w:rFonts w:cs="Calibri"/>
                <w:i/>
              </w:rPr>
              <w:t>Kindergarten Fee Subsidy</w:t>
            </w:r>
          </w:p>
        </w:tc>
        <w:tc>
          <w:tcPr>
            <w:tcW w:w="5703" w:type="dxa"/>
            <w:tcBorders>
              <w:top w:val="single" w:sz="4" w:space="0" w:color="auto"/>
              <w:left w:val="single" w:sz="4" w:space="0" w:color="auto"/>
              <w:bottom w:val="single" w:sz="4" w:space="0" w:color="auto"/>
              <w:right w:val="single" w:sz="4" w:space="0" w:color="auto"/>
            </w:tcBorders>
            <w:shd w:val="clear" w:color="auto" w:fill="auto"/>
          </w:tcPr>
          <w:p w14:paraId="4F4BE2BB" w14:textId="77777777" w:rsidR="00D41241" w:rsidRDefault="00D41241" w:rsidP="00F97072">
            <w:pPr>
              <w:pStyle w:val="ListParagraph"/>
              <w:ind w:left="0" w:firstLine="0"/>
            </w:pPr>
            <w:r w:rsidRPr="00DB5613">
              <w:t>Funding to promote kindergarten participation by enabling eligible children to attend a funded kindergarten program free of charge. This is paid in addition to per capita funding</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2D45F0A2" w14:textId="77777777" w:rsidR="00D41241" w:rsidRPr="00DE19C8" w:rsidRDefault="00D41241" w:rsidP="00B6013D">
            <w:pPr>
              <w:rPr>
                <w:rFonts w:cs="Calibri"/>
              </w:rPr>
            </w:pPr>
            <w:r>
              <w:rPr>
                <w:rFonts w:cs="Calibri"/>
              </w:rPr>
              <w:t xml:space="preserve">Increase participation and attendance of children from vulnerable families.  </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F2D4260" w14:textId="77777777" w:rsidR="00D41241" w:rsidRPr="00DE19C8" w:rsidRDefault="00D41241" w:rsidP="00B6013D">
            <w:pPr>
              <w:rPr>
                <w:rFonts w:cstheme="minorHAnsi"/>
              </w:rPr>
            </w:pPr>
            <w:r w:rsidRPr="00DE19C8">
              <w:rPr>
                <w:rFonts w:cstheme="minorHAnsi"/>
              </w:rPr>
              <w:t xml:space="preserve">No Evaluation </w:t>
            </w:r>
          </w:p>
          <w:p w14:paraId="365860AD" w14:textId="77777777" w:rsidR="00D41241" w:rsidRPr="00DE19C8" w:rsidRDefault="00D41241" w:rsidP="00B6013D">
            <w:pPr>
              <w:rPr>
                <w:rFonts w:ascii="Segoe UI Symbol" w:hAnsi="Segoe UI Symbol" w:cs="Segoe UI Symbol"/>
              </w:rPr>
            </w:pPr>
          </w:p>
        </w:tc>
      </w:tr>
      <w:tr w:rsidR="00D41241" w:rsidRPr="00DE19C8" w14:paraId="5F61771C" w14:textId="77777777" w:rsidTr="00BB6F4C">
        <w:trPr>
          <w:trHeight w:val="132"/>
        </w:trPr>
        <w:tc>
          <w:tcPr>
            <w:tcW w:w="2928" w:type="dxa"/>
            <w:tcBorders>
              <w:top w:val="single" w:sz="4" w:space="0" w:color="auto"/>
              <w:left w:val="single" w:sz="4" w:space="0" w:color="auto"/>
              <w:bottom w:val="single" w:sz="4" w:space="0" w:color="auto"/>
              <w:right w:val="single" w:sz="4" w:space="0" w:color="auto"/>
            </w:tcBorders>
            <w:shd w:val="clear" w:color="auto" w:fill="auto"/>
          </w:tcPr>
          <w:p w14:paraId="41102033" w14:textId="77777777" w:rsidR="00D41241" w:rsidRPr="00D73012" w:rsidRDefault="00D41241" w:rsidP="00B6013D">
            <w:pPr>
              <w:rPr>
                <w:rFonts w:cs="Calibri"/>
                <w:i/>
              </w:rPr>
            </w:pPr>
            <w:r w:rsidRPr="00D73012">
              <w:rPr>
                <w:rFonts w:cs="Calibri"/>
                <w:i/>
              </w:rPr>
              <w:t xml:space="preserve">Pre purchased places </w:t>
            </w:r>
          </w:p>
        </w:tc>
        <w:tc>
          <w:tcPr>
            <w:tcW w:w="5703" w:type="dxa"/>
            <w:tcBorders>
              <w:top w:val="single" w:sz="4" w:space="0" w:color="auto"/>
              <w:left w:val="single" w:sz="4" w:space="0" w:color="auto"/>
              <w:bottom w:val="single" w:sz="4" w:space="0" w:color="auto"/>
              <w:right w:val="single" w:sz="4" w:space="0" w:color="auto"/>
            </w:tcBorders>
            <w:shd w:val="clear" w:color="auto" w:fill="auto"/>
          </w:tcPr>
          <w:p w14:paraId="59E5C9AE" w14:textId="3D51C243" w:rsidR="00D41241" w:rsidRDefault="00D41241" w:rsidP="00BB6F4C">
            <w:r w:rsidRPr="00A20288">
              <w:t>The Government purchases and reser</w:t>
            </w:r>
            <w:r>
              <w:t xml:space="preserve">ves places for children who may </w:t>
            </w:r>
            <w:r w:rsidRPr="00A20288">
              <w:t>otherwise miss out on a kindergarten program through barriers such as</w:t>
            </w:r>
            <w:r>
              <w:t xml:space="preserve"> </w:t>
            </w:r>
            <w:r w:rsidRPr="00A20288">
              <w:t>enrolling late, moving into new areas, or being cared for out of home. Pre</w:t>
            </w:r>
            <w:r>
              <w:t>-</w:t>
            </w:r>
            <w:r w:rsidRPr="00A20288">
              <w:t>purchased</w:t>
            </w:r>
            <w:r>
              <w:t xml:space="preserve"> </w:t>
            </w:r>
            <w:r w:rsidRPr="00A20288">
              <w:t>places come at</w:t>
            </w:r>
            <w:r w:rsidR="00BB6F4C">
              <w:t xml:space="preserve"> no cost to families and carers</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F77072E" w14:textId="77777777" w:rsidR="00D41241" w:rsidRPr="00DE19C8" w:rsidRDefault="00D41241" w:rsidP="00B6013D">
            <w:pPr>
              <w:rPr>
                <w:rFonts w:cs="Calibri"/>
              </w:rPr>
            </w:pPr>
            <w:r>
              <w:rPr>
                <w:rFonts w:cs="Calibri"/>
              </w:rPr>
              <w:t xml:space="preserve">Increase enrolment of vulnerable families who would otherwise miss the deadline.  </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45B49EC" w14:textId="77777777" w:rsidR="00D41241" w:rsidRPr="00DE19C8" w:rsidRDefault="00D41241" w:rsidP="00B6013D">
            <w:pPr>
              <w:rPr>
                <w:rFonts w:cstheme="minorHAnsi"/>
              </w:rPr>
            </w:pPr>
            <w:r w:rsidRPr="00DE19C8">
              <w:rPr>
                <w:rFonts w:cstheme="minorHAnsi"/>
              </w:rPr>
              <w:t xml:space="preserve">No Evaluation </w:t>
            </w:r>
          </w:p>
          <w:p w14:paraId="6D2FD73F" w14:textId="77777777" w:rsidR="00D41241" w:rsidRPr="00DE19C8" w:rsidRDefault="00D41241" w:rsidP="00B6013D">
            <w:pPr>
              <w:rPr>
                <w:rFonts w:ascii="Segoe UI Symbol" w:hAnsi="Segoe UI Symbol" w:cs="Segoe UI Symbol"/>
              </w:rPr>
            </w:pPr>
          </w:p>
        </w:tc>
      </w:tr>
    </w:tbl>
    <w:p w14:paraId="400B01CD" w14:textId="727718F9" w:rsidR="009B27CD" w:rsidRDefault="009B27CD" w:rsidP="00BB6F4C"/>
    <w:p w14:paraId="5E05EA76" w14:textId="77777777" w:rsidR="00192655" w:rsidRDefault="00192655" w:rsidP="00BB6F4C"/>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7"/>
        <w:gridCol w:w="7"/>
        <w:gridCol w:w="5704"/>
        <w:gridCol w:w="3802"/>
        <w:gridCol w:w="1744"/>
      </w:tblGrid>
      <w:tr w:rsidR="00AF5142" w:rsidRPr="002B22A8" w14:paraId="3815AF5C" w14:textId="39164099" w:rsidTr="00BB6F4C">
        <w:tc>
          <w:tcPr>
            <w:tcW w:w="2918" w:type="dxa"/>
            <w:shd w:val="clear" w:color="auto" w:fill="BFBFBF" w:themeFill="background1" w:themeFillShade="BF"/>
          </w:tcPr>
          <w:p w14:paraId="30AB1514" w14:textId="77777777" w:rsidR="00AF5142" w:rsidRDefault="00AF5142" w:rsidP="00B6013D">
            <w:pPr>
              <w:rPr>
                <w:b/>
                <w:color w:val="002060"/>
              </w:rPr>
            </w:pPr>
          </w:p>
          <w:p w14:paraId="1900946C" w14:textId="3A7EE1D9" w:rsidR="00AF5142" w:rsidRPr="002B22A8" w:rsidRDefault="00AF5142" w:rsidP="00B6013D">
            <w:pPr>
              <w:rPr>
                <w:rFonts w:eastAsia="Times New Roman"/>
                <w:color w:val="000000"/>
                <w:spacing w:val="2"/>
              </w:rPr>
            </w:pPr>
            <w:r>
              <w:rPr>
                <w:b/>
                <w:color w:val="002060"/>
              </w:rPr>
              <w:t>Western Australia</w:t>
            </w:r>
          </w:p>
          <w:p w14:paraId="464AA12A" w14:textId="77777777" w:rsidR="00AF5142" w:rsidRPr="002B22A8" w:rsidRDefault="00AF5142" w:rsidP="00B6013D">
            <w:pPr>
              <w:rPr>
                <w:rFonts w:eastAsia="Times New Roman"/>
                <w:color w:val="000000"/>
                <w:spacing w:val="2"/>
              </w:rPr>
            </w:pPr>
          </w:p>
        </w:tc>
        <w:tc>
          <w:tcPr>
            <w:tcW w:w="11257" w:type="dxa"/>
            <w:gridSpan w:val="4"/>
            <w:shd w:val="clear" w:color="auto" w:fill="F2F2F2" w:themeFill="background1" w:themeFillShade="F2"/>
          </w:tcPr>
          <w:p w14:paraId="7D835FED" w14:textId="77777777" w:rsidR="00AF5142" w:rsidRDefault="00AF5142">
            <w:pPr>
              <w:rPr>
                <w:rFonts w:eastAsia="Times New Roman"/>
                <w:color w:val="000000"/>
                <w:spacing w:val="2"/>
              </w:rPr>
            </w:pPr>
          </w:p>
          <w:p w14:paraId="05C4D22D" w14:textId="77777777" w:rsidR="00BB6F4C" w:rsidRDefault="0031148B" w:rsidP="00BB6F4C">
            <w:pPr>
              <w:tabs>
                <w:tab w:val="left" w:pos="706"/>
              </w:tabs>
            </w:pPr>
            <w:r>
              <w:t xml:space="preserve">Strategy Focus: </w:t>
            </w:r>
            <w:r w:rsidR="00AF5142" w:rsidRPr="003B1303">
              <w:t>Due to the school-based preschool delivery model in Western Australia, Kindergarten teachers, students and parents have access to the full range of support services and programs available to schools to maximise attendance and address students’ learning needs.</w:t>
            </w:r>
          </w:p>
          <w:p w14:paraId="11D7F86D" w14:textId="59F0CBBC" w:rsidR="00AF5142" w:rsidRDefault="00AF5142" w:rsidP="00BB6F4C">
            <w:pPr>
              <w:tabs>
                <w:tab w:val="left" w:pos="706"/>
              </w:tabs>
            </w:pPr>
            <w:r>
              <w:t>S</w:t>
            </w:r>
            <w:r w:rsidRPr="00C074A0">
              <w:t>upport</w:t>
            </w:r>
            <w:r>
              <w:t>ing</w:t>
            </w:r>
            <w:r w:rsidRPr="00C074A0">
              <w:t xml:space="preserve"> children’s learning prior to school entry is focused on forging partnerships with families and </w:t>
            </w:r>
            <w:r>
              <w:br/>
            </w:r>
            <w:r w:rsidRPr="00C074A0">
              <w:t>community</w:t>
            </w:r>
            <w:r>
              <w:t>-</w:t>
            </w:r>
            <w:r w:rsidRPr="00C074A0">
              <w:t>based non-government organisations to deliver an integrated suit</w:t>
            </w:r>
            <w:r>
              <w:t>e of family-centred initiatives.</w:t>
            </w:r>
          </w:p>
          <w:p w14:paraId="25B8EE19" w14:textId="2452A6DB" w:rsidR="00AF5142" w:rsidRPr="002B22A8" w:rsidRDefault="00AF5142" w:rsidP="00AF5142">
            <w:pPr>
              <w:rPr>
                <w:rFonts w:eastAsia="Times New Roman"/>
                <w:color w:val="000000"/>
                <w:spacing w:val="2"/>
              </w:rPr>
            </w:pPr>
          </w:p>
        </w:tc>
      </w:tr>
      <w:tr w:rsidR="00D41241" w:rsidRPr="00961318" w14:paraId="411FA497" w14:textId="77777777" w:rsidTr="00BB6F4C">
        <w:trPr>
          <w:tblHeader/>
        </w:trPr>
        <w:tc>
          <w:tcPr>
            <w:tcW w:w="2925" w:type="dxa"/>
            <w:gridSpan w:val="2"/>
            <w:tcBorders>
              <w:top w:val="single" w:sz="4" w:space="0" w:color="auto"/>
              <w:left w:val="single" w:sz="4" w:space="0" w:color="auto"/>
            </w:tcBorders>
            <w:shd w:val="clear" w:color="auto" w:fill="auto"/>
          </w:tcPr>
          <w:p w14:paraId="32F533DD" w14:textId="77777777" w:rsidR="00D41241" w:rsidRPr="00961318" w:rsidRDefault="00D41241" w:rsidP="00B6013D">
            <w:pPr>
              <w:rPr>
                <w:b/>
                <w:color w:val="002060"/>
              </w:rPr>
            </w:pPr>
            <w:r w:rsidRPr="00961318">
              <w:rPr>
                <w:b/>
                <w:color w:val="002060"/>
              </w:rPr>
              <w:t>Program or initiative</w:t>
            </w:r>
          </w:p>
        </w:tc>
        <w:tc>
          <w:tcPr>
            <w:tcW w:w="5704" w:type="dxa"/>
            <w:tcBorders>
              <w:top w:val="single" w:sz="4" w:space="0" w:color="auto"/>
            </w:tcBorders>
            <w:shd w:val="clear" w:color="auto" w:fill="auto"/>
          </w:tcPr>
          <w:p w14:paraId="03D37E27" w14:textId="77777777" w:rsidR="00D41241" w:rsidRPr="00961318" w:rsidRDefault="00D41241" w:rsidP="00B6013D">
            <w:pPr>
              <w:rPr>
                <w:b/>
                <w:color w:val="002060"/>
              </w:rPr>
            </w:pPr>
            <w:r>
              <w:rPr>
                <w:b/>
                <w:color w:val="002060"/>
              </w:rPr>
              <w:t xml:space="preserve">Details </w:t>
            </w:r>
          </w:p>
        </w:tc>
        <w:tc>
          <w:tcPr>
            <w:tcW w:w="3802" w:type="dxa"/>
            <w:shd w:val="clear" w:color="auto" w:fill="auto"/>
          </w:tcPr>
          <w:p w14:paraId="639B61FA" w14:textId="77777777" w:rsidR="00D41241" w:rsidRPr="00961318" w:rsidRDefault="00D41241" w:rsidP="00B6013D">
            <w:pPr>
              <w:rPr>
                <w:b/>
                <w:color w:val="002060"/>
              </w:rPr>
            </w:pPr>
            <w:r w:rsidRPr="00961318">
              <w:rPr>
                <w:b/>
                <w:color w:val="002060"/>
              </w:rPr>
              <w:t>Key drivers</w:t>
            </w:r>
          </w:p>
        </w:tc>
        <w:tc>
          <w:tcPr>
            <w:tcW w:w="1744" w:type="dxa"/>
          </w:tcPr>
          <w:p w14:paraId="5B0A9C6B" w14:textId="77777777" w:rsidR="00D41241" w:rsidRPr="00961318" w:rsidRDefault="00D41241" w:rsidP="00B6013D">
            <w:pPr>
              <w:rPr>
                <w:b/>
                <w:color w:val="002060"/>
              </w:rPr>
            </w:pPr>
            <w:r>
              <w:rPr>
                <w:b/>
                <w:color w:val="002060"/>
              </w:rPr>
              <w:t>Evaluation?</w:t>
            </w:r>
          </w:p>
        </w:tc>
      </w:tr>
      <w:tr w:rsidR="00D41241" w14:paraId="14132141" w14:textId="77777777" w:rsidTr="00BB6F4C">
        <w:tc>
          <w:tcPr>
            <w:tcW w:w="2925" w:type="dxa"/>
            <w:gridSpan w:val="2"/>
            <w:shd w:val="clear" w:color="auto" w:fill="auto"/>
          </w:tcPr>
          <w:p w14:paraId="75FA0806" w14:textId="77777777" w:rsidR="00D41241" w:rsidRDefault="00D41241" w:rsidP="00B6013D">
            <w:pPr>
              <w:rPr>
                <w:i/>
              </w:rPr>
            </w:pPr>
            <w:r>
              <w:rPr>
                <w:i/>
              </w:rPr>
              <w:t>Good Start, 1995</w:t>
            </w:r>
          </w:p>
          <w:p w14:paraId="1412BFD9" w14:textId="77777777" w:rsidR="00D41241" w:rsidRPr="005E53E9" w:rsidRDefault="00D41241" w:rsidP="00B6013D">
            <w:pPr>
              <w:rPr>
                <w:i/>
              </w:rPr>
            </w:pPr>
          </w:p>
        </w:tc>
        <w:tc>
          <w:tcPr>
            <w:tcW w:w="5704" w:type="dxa"/>
            <w:shd w:val="clear" w:color="auto" w:fill="auto"/>
          </w:tcPr>
          <w:p w14:paraId="2E56B070" w14:textId="77777777" w:rsidR="00D41241" w:rsidRDefault="00D41241" w:rsidP="00B6013D">
            <w:r w:rsidRPr="00B956FE">
              <w:t>Legislated entitlement for all four-year-olds to enrol and attend Kindergarten for free at a public school.</w:t>
            </w:r>
          </w:p>
          <w:p w14:paraId="4EBB92E7" w14:textId="77777777" w:rsidR="00D41241" w:rsidRPr="00B956FE" w:rsidRDefault="00D41241" w:rsidP="00B6013D">
            <w:r>
              <w:t>State Government commitment pays an average of 75% of the cost of Kindergarten in non-government schools so the cost of Kindergarten is comparable to all other years of schooling (for which the Commonwealth contributes significant funding).</w:t>
            </w:r>
          </w:p>
        </w:tc>
        <w:tc>
          <w:tcPr>
            <w:tcW w:w="3802" w:type="dxa"/>
            <w:shd w:val="clear" w:color="auto" w:fill="auto"/>
          </w:tcPr>
          <w:p w14:paraId="0CFF7612" w14:textId="77777777" w:rsidR="00D41241" w:rsidRPr="00DD5F63" w:rsidRDefault="00D41241" w:rsidP="00B6013D">
            <w:r>
              <w:t>To optimise children’s development and learning.</w:t>
            </w:r>
          </w:p>
        </w:tc>
        <w:tc>
          <w:tcPr>
            <w:tcW w:w="1744" w:type="dxa"/>
            <w:shd w:val="clear" w:color="auto" w:fill="auto"/>
          </w:tcPr>
          <w:p w14:paraId="3F615553" w14:textId="77777777" w:rsidR="00D41241" w:rsidRDefault="00D41241" w:rsidP="00B6013D">
            <w:r>
              <w:t>Unknown</w:t>
            </w:r>
          </w:p>
        </w:tc>
      </w:tr>
      <w:tr w:rsidR="00D41241" w14:paraId="79635050" w14:textId="77777777" w:rsidTr="00BB6F4C">
        <w:tc>
          <w:tcPr>
            <w:tcW w:w="2925" w:type="dxa"/>
            <w:gridSpan w:val="2"/>
            <w:shd w:val="clear" w:color="auto" w:fill="auto"/>
          </w:tcPr>
          <w:p w14:paraId="3CEF74C2" w14:textId="77777777" w:rsidR="00D41241" w:rsidRPr="005E53E9" w:rsidRDefault="00D41241" w:rsidP="00B6013D">
            <w:pPr>
              <w:rPr>
                <w:i/>
              </w:rPr>
            </w:pPr>
            <w:r>
              <w:rPr>
                <w:i/>
              </w:rPr>
              <w:t>Teacher Registration</w:t>
            </w:r>
          </w:p>
        </w:tc>
        <w:tc>
          <w:tcPr>
            <w:tcW w:w="5704" w:type="dxa"/>
            <w:shd w:val="clear" w:color="auto" w:fill="auto"/>
          </w:tcPr>
          <w:p w14:paraId="495F0E84" w14:textId="77777777" w:rsidR="00D41241" w:rsidRPr="00B956FE" w:rsidRDefault="00D41241" w:rsidP="00B6013D">
            <w:r>
              <w:t>All teachers in all schools – including in Kindergarten – must be fully qualified and registered teachers.</w:t>
            </w:r>
          </w:p>
        </w:tc>
        <w:tc>
          <w:tcPr>
            <w:tcW w:w="3802" w:type="dxa"/>
            <w:shd w:val="clear" w:color="auto" w:fill="auto"/>
          </w:tcPr>
          <w:p w14:paraId="5EBCC833" w14:textId="77777777" w:rsidR="00D41241" w:rsidRPr="00DD5F63" w:rsidRDefault="00D41241" w:rsidP="00B6013D">
            <w:r>
              <w:t>To optimise the quality of all programs in all WA schools</w:t>
            </w:r>
          </w:p>
        </w:tc>
        <w:tc>
          <w:tcPr>
            <w:tcW w:w="1744" w:type="dxa"/>
            <w:shd w:val="clear" w:color="auto" w:fill="auto"/>
          </w:tcPr>
          <w:p w14:paraId="0B593C19" w14:textId="77777777" w:rsidR="00D41241" w:rsidRDefault="00D41241" w:rsidP="00B6013D">
            <w:r>
              <w:t>Unknown</w:t>
            </w:r>
          </w:p>
        </w:tc>
      </w:tr>
      <w:tr w:rsidR="00D41241" w:rsidRPr="00C83B82" w14:paraId="080CCA48" w14:textId="77777777" w:rsidTr="00BB6F4C">
        <w:tc>
          <w:tcPr>
            <w:tcW w:w="2925" w:type="dxa"/>
            <w:gridSpan w:val="2"/>
            <w:shd w:val="clear" w:color="auto" w:fill="auto"/>
          </w:tcPr>
          <w:p w14:paraId="720D06F8" w14:textId="77777777" w:rsidR="00D41241" w:rsidRPr="005E53E9" w:rsidRDefault="00D41241" w:rsidP="00B6013D">
            <w:pPr>
              <w:rPr>
                <w:i/>
              </w:rPr>
            </w:pPr>
            <w:r>
              <w:rPr>
                <w:i/>
              </w:rPr>
              <w:t>National Quality Standard in schools, K-2</w:t>
            </w:r>
          </w:p>
        </w:tc>
        <w:tc>
          <w:tcPr>
            <w:tcW w:w="5704" w:type="dxa"/>
            <w:shd w:val="clear" w:color="auto" w:fill="auto"/>
          </w:tcPr>
          <w:p w14:paraId="78D1464F" w14:textId="77777777" w:rsidR="00D41241" w:rsidRPr="00B956FE" w:rsidRDefault="00D41241" w:rsidP="00B6013D">
            <w:r>
              <w:t>All public and non-government schools are required to incorporate the National Quality Standard into program planning and improvement across the early years of schooling to Year 2.</w:t>
            </w:r>
          </w:p>
        </w:tc>
        <w:tc>
          <w:tcPr>
            <w:tcW w:w="3802" w:type="dxa"/>
            <w:shd w:val="clear" w:color="auto" w:fill="auto"/>
          </w:tcPr>
          <w:p w14:paraId="0F834C66" w14:textId="77777777" w:rsidR="00D41241" w:rsidRPr="00DD5F63" w:rsidRDefault="00D41241" w:rsidP="00B6013D">
            <w:r>
              <w:t xml:space="preserve">To optimise the quality of early childhood programs </w:t>
            </w:r>
            <w:r>
              <w:br/>
              <w:t>(K-2) in all WA schools</w:t>
            </w:r>
          </w:p>
        </w:tc>
        <w:tc>
          <w:tcPr>
            <w:tcW w:w="1744" w:type="dxa"/>
            <w:shd w:val="clear" w:color="auto" w:fill="auto"/>
          </w:tcPr>
          <w:p w14:paraId="3B1696BC" w14:textId="77777777" w:rsidR="00D41241" w:rsidRDefault="00D41241" w:rsidP="00B6013D">
            <w:r>
              <w:t>External Evaluation</w:t>
            </w:r>
          </w:p>
          <w:p w14:paraId="6CA16E2E" w14:textId="777B68B4" w:rsidR="00D41241" w:rsidRPr="00C83B82" w:rsidRDefault="00D41241" w:rsidP="00B6013D">
            <w:r w:rsidRPr="00DD5F63">
              <w:t>Edith Cowan</w:t>
            </w:r>
            <w:r w:rsidR="004D63F0">
              <w:t xml:space="preserve"> University in 2017</w:t>
            </w:r>
          </w:p>
        </w:tc>
      </w:tr>
      <w:tr w:rsidR="00D41241" w14:paraId="1532AA9C" w14:textId="77777777" w:rsidTr="00BB6F4C">
        <w:tc>
          <w:tcPr>
            <w:tcW w:w="2925" w:type="dxa"/>
            <w:gridSpan w:val="2"/>
            <w:shd w:val="clear" w:color="auto" w:fill="auto"/>
          </w:tcPr>
          <w:p w14:paraId="6DB8F176" w14:textId="77777777" w:rsidR="00D41241" w:rsidRPr="005E53E9" w:rsidRDefault="00D41241" w:rsidP="00B6013D">
            <w:pPr>
              <w:rPr>
                <w:i/>
              </w:rPr>
            </w:pPr>
            <w:r w:rsidRPr="005E53E9">
              <w:rPr>
                <w:i/>
              </w:rPr>
              <w:t>Attendance Tool Kit</w:t>
            </w:r>
          </w:p>
        </w:tc>
        <w:tc>
          <w:tcPr>
            <w:tcW w:w="5704" w:type="dxa"/>
            <w:shd w:val="clear" w:color="auto" w:fill="auto"/>
          </w:tcPr>
          <w:p w14:paraId="6B143CBE" w14:textId="77777777" w:rsidR="00D41241" w:rsidRPr="00DD5F63" w:rsidRDefault="00D41241" w:rsidP="00B6013D">
            <w:r>
              <w:t xml:space="preserve">An </w:t>
            </w:r>
            <w:r w:rsidRPr="00DD5F63">
              <w:t xml:space="preserve">Attendance Tool Kit has been developed for use within the </w:t>
            </w:r>
            <w:r>
              <w:t xml:space="preserve">public </w:t>
            </w:r>
            <w:r w:rsidRPr="00DD5F63">
              <w:t>school system</w:t>
            </w:r>
            <w:r>
              <w:t>, including Kindergarten</w:t>
            </w:r>
            <w:r w:rsidRPr="00DD5F63">
              <w:t xml:space="preserve">. </w:t>
            </w:r>
          </w:p>
        </w:tc>
        <w:tc>
          <w:tcPr>
            <w:tcW w:w="3802" w:type="dxa"/>
            <w:shd w:val="clear" w:color="auto" w:fill="auto"/>
          </w:tcPr>
          <w:p w14:paraId="026B2F0D" w14:textId="77777777" w:rsidR="00D41241" w:rsidRPr="00DD5F63" w:rsidRDefault="00D41241" w:rsidP="00B6013D">
            <w:r w:rsidRPr="00DD5F63">
              <w:t xml:space="preserve">To improve attendance </w:t>
            </w:r>
          </w:p>
        </w:tc>
        <w:tc>
          <w:tcPr>
            <w:tcW w:w="1744" w:type="dxa"/>
            <w:shd w:val="clear" w:color="auto" w:fill="auto"/>
          </w:tcPr>
          <w:p w14:paraId="64F8BA18" w14:textId="77777777" w:rsidR="00D41241" w:rsidRPr="002B79C2" w:rsidRDefault="00D41241" w:rsidP="00B6013D">
            <w:pPr>
              <w:rPr>
                <w:rFonts w:cstheme="minorHAnsi"/>
              </w:rPr>
            </w:pPr>
            <w:r w:rsidRPr="002B79C2">
              <w:rPr>
                <w:rFonts w:cstheme="minorHAnsi"/>
              </w:rPr>
              <w:t xml:space="preserve">No Evaluation </w:t>
            </w:r>
          </w:p>
          <w:p w14:paraId="350829A7" w14:textId="77777777" w:rsidR="00D41241" w:rsidRDefault="00D41241" w:rsidP="00B6013D">
            <w:pPr>
              <w:ind w:left="216"/>
            </w:pPr>
          </w:p>
        </w:tc>
      </w:tr>
      <w:tr w:rsidR="00D41241" w:rsidRPr="00D04F63" w14:paraId="1211FFD4" w14:textId="77777777" w:rsidTr="00BB6F4C">
        <w:tc>
          <w:tcPr>
            <w:tcW w:w="2925" w:type="dxa"/>
            <w:gridSpan w:val="2"/>
            <w:tcBorders>
              <w:top w:val="single" w:sz="4" w:space="0" w:color="auto"/>
              <w:left w:val="single" w:sz="4" w:space="0" w:color="auto"/>
              <w:bottom w:val="single" w:sz="4" w:space="0" w:color="auto"/>
              <w:right w:val="single" w:sz="4" w:space="0" w:color="auto"/>
            </w:tcBorders>
            <w:shd w:val="clear" w:color="auto" w:fill="auto"/>
          </w:tcPr>
          <w:p w14:paraId="53C7EC53" w14:textId="77777777" w:rsidR="00D41241" w:rsidRPr="005E53E9" w:rsidRDefault="00D41241" w:rsidP="00B6013D">
            <w:pPr>
              <w:rPr>
                <w:i/>
              </w:rPr>
            </w:pPr>
            <w:r>
              <w:rPr>
                <w:i/>
              </w:rPr>
              <w:t>System-level student attendance policies, procedures, and monitoring systems.</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37C21B32" w14:textId="77777777" w:rsidR="00D41241" w:rsidRDefault="00D41241" w:rsidP="00B6013D">
            <w:r>
              <w:t xml:space="preserve">Kindergarten is subject to the same mandatory public school attendance monitoring and follow-up requirements stipulated in policies and procedures that apply to all years of schooling </w:t>
            </w:r>
          </w:p>
          <w:p w14:paraId="2C9A2E59" w14:textId="77777777" w:rsidR="00D41241" w:rsidRPr="00DD5F63" w:rsidRDefault="00D41241" w:rsidP="00B6013D">
            <w:r>
              <w:t xml:space="preserve">Further, Kindergarten enrolment and attendance records are maintained in the State’s public school Student Information System (SIS) and </w:t>
            </w:r>
            <w:r w:rsidRPr="00D04F63">
              <w:t>Student Attendance Reporting (SAR) system</w:t>
            </w:r>
            <w:r>
              <w:t xml:space="preserve">, along with all other public school students’ records, These systems enable schools to easily monitor and act on low or declining Kindergarten attendance, provide for system-level oversight and accountability on schools, and the transfer or records when students move into full-time schooling or change schools (including Kindergarten).  </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31F0D65D" w14:textId="77777777" w:rsidR="00D41241" w:rsidRPr="00DD5F63" w:rsidRDefault="00D41241" w:rsidP="00B6013D">
            <w:r w:rsidRPr="00DD5F63">
              <w:t xml:space="preserve">To </w:t>
            </w:r>
            <w:r>
              <w:t xml:space="preserve">maximise regular attendance </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F5C72F1" w14:textId="77777777" w:rsidR="00D41241" w:rsidRPr="002B79C2" w:rsidRDefault="00D41241" w:rsidP="00B6013D">
            <w:pPr>
              <w:rPr>
                <w:rFonts w:cstheme="minorHAnsi"/>
              </w:rPr>
            </w:pPr>
            <w:r w:rsidRPr="002B79C2">
              <w:rPr>
                <w:rFonts w:cstheme="minorHAnsi"/>
              </w:rPr>
              <w:t xml:space="preserve">No Evaluation </w:t>
            </w:r>
          </w:p>
          <w:p w14:paraId="18B27A7E" w14:textId="77777777" w:rsidR="00D41241" w:rsidRPr="00D04F63" w:rsidRDefault="00D41241" w:rsidP="00B6013D">
            <w:pPr>
              <w:rPr>
                <w:rFonts w:cstheme="minorHAnsi"/>
              </w:rPr>
            </w:pPr>
          </w:p>
        </w:tc>
      </w:tr>
      <w:tr w:rsidR="00D41241" w:rsidRPr="00D04F63" w14:paraId="0B6B90DC" w14:textId="77777777" w:rsidTr="00BB6F4C">
        <w:tc>
          <w:tcPr>
            <w:tcW w:w="2925" w:type="dxa"/>
            <w:gridSpan w:val="2"/>
            <w:tcBorders>
              <w:top w:val="single" w:sz="4" w:space="0" w:color="auto"/>
              <w:left w:val="single" w:sz="4" w:space="0" w:color="auto"/>
              <w:bottom w:val="single" w:sz="4" w:space="0" w:color="auto"/>
              <w:right w:val="single" w:sz="4" w:space="0" w:color="auto"/>
            </w:tcBorders>
            <w:shd w:val="clear" w:color="auto" w:fill="auto"/>
          </w:tcPr>
          <w:p w14:paraId="57902980" w14:textId="77777777" w:rsidR="00D41241" w:rsidRPr="002B79C2" w:rsidRDefault="00D41241" w:rsidP="00B6013D">
            <w:pPr>
              <w:rPr>
                <w:i/>
              </w:rPr>
            </w:pPr>
            <w:r w:rsidRPr="002B79C2">
              <w:rPr>
                <w:i/>
              </w:rPr>
              <w:t>Kimberley Schools Project</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50950A43" w14:textId="77777777" w:rsidR="00D41241" w:rsidRPr="002B79C2" w:rsidRDefault="00D41241" w:rsidP="00B6013D">
            <w:pPr>
              <w:jc w:val="both"/>
              <w:rPr>
                <w:rFonts w:eastAsia="Times New Roman"/>
                <w:color w:val="000000"/>
              </w:rPr>
            </w:pPr>
            <w:r w:rsidRPr="002B79C2">
              <w:rPr>
                <w:rFonts w:eastAsia="Times New Roman"/>
                <w:color w:val="000000"/>
              </w:rPr>
              <w:t>A collaborative project involving Western Australia’s public and non-government school sectors and the WA Department of Primary Industries and Regional Development working on four integrated areas of innovation:</w:t>
            </w:r>
          </w:p>
          <w:p w14:paraId="00B7825D" w14:textId="77777777" w:rsidR="00D41241" w:rsidRPr="002B79C2" w:rsidRDefault="00D41241" w:rsidP="00D41241">
            <w:pPr>
              <w:pStyle w:val="ListParagraph"/>
              <w:widowControl/>
              <w:numPr>
                <w:ilvl w:val="0"/>
                <w:numId w:val="25"/>
              </w:numPr>
              <w:autoSpaceDE/>
              <w:autoSpaceDN/>
              <w:ind w:left="225" w:hanging="225"/>
              <w:jc w:val="left"/>
              <w:rPr>
                <w:rFonts w:eastAsia="Times New Roman"/>
                <w:color w:val="000000"/>
              </w:rPr>
            </w:pPr>
            <w:r w:rsidRPr="002B79C2">
              <w:rPr>
                <w:rFonts w:eastAsia="Times New Roman"/>
                <w:color w:val="000000"/>
              </w:rPr>
              <w:t>Targeted teaching, especially early literacy and numeracy</w:t>
            </w:r>
          </w:p>
          <w:p w14:paraId="1B10CAFB" w14:textId="77777777" w:rsidR="00D41241" w:rsidRPr="002B79C2" w:rsidRDefault="00D41241" w:rsidP="00D41241">
            <w:pPr>
              <w:pStyle w:val="ListParagraph"/>
              <w:widowControl/>
              <w:numPr>
                <w:ilvl w:val="0"/>
                <w:numId w:val="25"/>
              </w:numPr>
              <w:autoSpaceDE/>
              <w:autoSpaceDN/>
              <w:ind w:left="225" w:hanging="225"/>
              <w:jc w:val="left"/>
              <w:rPr>
                <w:rFonts w:eastAsia="Times New Roman"/>
                <w:color w:val="000000"/>
              </w:rPr>
            </w:pPr>
            <w:r w:rsidRPr="002B79C2">
              <w:rPr>
                <w:rFonts w:eastAsia="Times New Roman"/>
                <w:color w:val="000000"/>
              </w:rPr>
              <w:t>Early years: community co-design initiatives that build on and improve existing services, and engage families as their children’s first teachers through KindiLink</w:t>
            </w:r>
          </w:p>
          <w:p w14:paraId="6E47C491" w14:textId="77777777" w:rsidR="00D41241" w:rsidRPr="002B79C2" w:rsidRDefault="00D41241" w:rsidP="00D41241">
            <w:pPr>
              <w:pStyle w:val="ListParagraph"/>
              <w:widowControl/>
              <w:numPr>
                <w:ilvl w:val="0"/>
                <w:numId w:val="25"/>
              </w:numPr>
              <w:autoSpaceDE/>
              <w:autoSpaceDN/>
              <w:ind w:left="225" w:hanging="225"/>
              <w:jc w:val="left"/>
              <w:rPr>
                <w:rFonts w:eastAsia="Times New Roman"/>
                <w:color w:val="000000"/>
              </w:rPr>
            </w:pPr>
            <w:r w:rsidRPr="002B79C2">
              <w:rPr>
                <w:rFonts w:eastAsia="Times New Roman"/>
                <w:color w:val="000000"/>
              </w:rPr>
              <w:t>Regular attendance: community partnerships to deliver strategies that aim to resolve issues of non-attendance.</w:t>
            </w:r>
          </w:p>
          <w:p w14:paraId="4A625394" w14:textId="77777777" w:rsidR="00D41241" w:rsidRDefault="00D41241" w:rsidP="00963D6C">
            <w:pPr>
              <w:pStyle w:val="ListParagraph"/>
              <w:widowControl/>
              <w:numPr>
                <w:ilvl w:val="0"/>
                <w:numId w:val="25"/>
              </w:numPr>
              <w:autoSpaceDE/>
              <w:autoSpaceDN/>
              <w:ind w:left="225" w:hanging="225"/>
              <w:jc w:val="left"/>
              <w:rPr>
                <w:rFonts w:eastAsia="Times New Roman"/>
                <w:color w:val="000000"/>
              </w:rPr>
            </w:pPr>
            <w:r w:rsidRPr="002B79C2">
              <w:rPr>
                <w:rFonts w:eastAsia="Times New Roman"/>
                <w:color w:val="000000"/>
              </w:rPr>
              <w:t>Student and community engagement: co-designed community initiatives that build positive relationships between the school and the community</w:t>
            </w:r>
          </w:p>
          <w:p w14:paraId="6993B0B1" w14:textId="14DF0227" w:rsidR="004D63F0" w:rsidRPr="002B79C2" w:rsidRDefault="004D63F0" w:rsidP="004D63F0">
            <w:pPr>
              <w:pStyle w:val="ListParagraph"/>
              <w:widowControl/>
              <w:autoSpaceDE/>
              <w:autoSpaceDN/>
              <w:ind w:left="225" w:firstLine="0"/>
              <w:jc w:val="left"/>
              <w:rPr>
                <w:rFonts w:eastAsia="Times New Roman"/>
                <w:color w:val="000000"/>
              </w:rPr>
            </w:pP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61EE6F62" w14:textId="77777777" w:rsidR="00D41241" w:rsidRPr="002B79C2" w:rsidRDefault="00D41241" w:rsidP="00B6013D">
            <w:r w:rsidRPr="002B79C2">
              <w:t>To improve Kimberley students’ engagement and learning across Kindergarten to Year 12.</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333F0D3" w14:textId="77777777" w:rsidR="00D41241" w:rsidRPr="002B79C2" w:rsidRDefault="00D41241" w:rsidP="00B6013D">
            <w:pPr>
              <w:rPr>
                <w:rFonts w:cstheme="minorHAnsi"/>
              </w:rPr>
            </w:pPr>
            <w:r w:rsidRPr="002B79C2">
              <w:rPr>
                <w:rFonts w:cstheme="minorHAnsi"/>
              </w:rPr>
              <w:t xml:space="preserve">No Evaluation </w:t>
            </w:r>
          </w:p>
          <w:p w14:paraId="4AAA898C" w14:textId="77777777" w:rsidR="00D41241" w:rsidRPr="00D04F63" w:rsidRDefault="00D41241" w:rsidP="00B6013D">
            <w:pPr>
              <w:rPr>
                <w:rFonts w:cstheme="minorHAnsi"/>
              </w:rPr>
            </w:pPr>
          </w:p>
        </w:tc>
      </w:tr>
      <w:tr w:rsidR="00D41241" w:rsidRPr="00D04F63" w14:paraId="47CE983E" w14:textId="77777777" w:rsidTr="00BB6F4C">
        <w:tc>
          <w:tcPr>
            <w:tcW w:w="2925" w:type="dxa"/>
            <w:gridSpan w:val="2"/>
            <w:tcBorders>
              <w:top w:val="single" w:sz="4" w:space="0" w:color="auto"/>
              <w:left w:val="single" w:sz="4" w:space="0" w:color="auto"/>
              <w:bottom w:val="single" w:sz="4" w:space="0" w:color="auto"/>
              <w:right w:val="single" w:sz="4" w:space="0" w:color="auto"/>
            </w:tcBorders>
            <w:shd w:val="clear" w:color="auto" w:fill="auto"/>
          </w:tcPr>
          <w:p w14:paraId="38A108F6" w14:textId="77777777" w:rsidR="00D41241" w:rsidRPr="002B79C2" w:rsidRDefault="00D41241" w:rsidP="00B6013D">
            <w:pPr>
              <w:rPr>
                <w:i/>
              </w:rPr>
            </w:pPr>
            <w:r w:rsidRPr="002B79C2">
              <w:rPr>
                <w:i/>
              </w:rPr>
              <w:t>Remote School Attendance Strategy</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14E19252" w14:textId="77777777" w:rsidR="00D41241" w:rsidRPr="002B79C2" w:rsidRDefault="00D41241" w:rsidP="00B6013D">
            <w:r w:rsidRPr="002B79C2">
              <w:t xml:space="preserve">This initiative funded under the Australian Government’s Indigenous Advancement Strategy is designed to increase school (including Kindergarten) attendance by Aboriginal students.  Further information about the strategy is available from: </w:t>
            </w:r>
          </w:p>
          <w:p w14:paraId="2CB71C2C" w14:textId="77777777" w:rsidR="00D41241" w:rsidRPr="002B79C2" w:rsidRDefault="00BA469C" w:rsidP="00D41241">
            <w:pPr>
              <w:pStyle w:val="ListParagraph"/>
              <w:widowControl/>
              <w:numPr>
                <w:ilvl w:val="0"/>
                <w:numId w:val="24"/>
              </w:numPr>
              <w:autoSpaceDE/>
              <w:autoSpaceDN/>
              <w:spacing w:after="120" w:line="240" w:lineRule="atLeast"/>
              <w:contextualSpacing/>
              <w:jc w:val="left"/>
            </w:pPr>
            <w:hyperlink r:id="rId39" w:history="1">
              <w:r w:rsidR="00D41241" w:rsidRPr="002B79C2">
                <w:rPr>
                  <w:rStyle w:val="Hyperlink"/>
                </w:rPr>
                <w:t>https://www.niaa.gov.au/indigenous-affairs/education/remote-school-attendance-strategy</w:t>
              </w:r>
            </w:hyperlink>
          </w:p>
          <w:p w14:paraId="07C0894C" w14:textId="204CA839" w:rsidR="00963D6C" w:rsidRPr="002B79C2" w:rsidRDefault="00BA469C" w:rsidP="00963D6C">
            <w:pPr>
              <w:pStyle w:val="ListParagraph"/>
              <w:widowControl/>
              <w:numPr>
                <w:ilvl w:val="0"/>
                <w:numId w:val="24"/>
              </w:numPr>
              <w:autoSpaceDE/>
              <w:autoSpaceDN/>
              <w:spacing w:after="120" w:line="240" w:lineRule="atLeast"/>
              <w:contextualSpacing/>
              <w:jc w:val="left"/>
            </w:pPr>
            <w:hyperlink r:id="rId40" w:history="1">
              <w:r w:rsidR="00963D6C" w:rsidRPr="00672BCD">
                <w:rPr>
                  <w:rStyle w:val="Hyperlink"/>
                </w:rPr>
                <w:t>https://www.pmc.gov.au/sites/default/files/publications/annual_reports/2016-17-HTML/content/remote-school-attendance-strategy.html</w:t>
              </w:r>
            </w:hyperlink>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005FDCC4" w14:textId="77777777" w:rsidR="00D41241" w:rsidRPr="002B79C2" w:rsidRDefault="00D41241" w:rsidP="00B6013D">
            <w:r w:rsidRPr="002B79C2">
              <w:t>To improve Aboriginal students’ participation and attendance</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8A4E87F" w14:textId="77777777" w:rsidR="00D41241" w:rsidRPr="002B79C2" w:rsidRDefault="00D41241" w:rsidP="00B6013D">
            <w:pPr>
              <w:rPr>
                <w:rFonts w:cstheme="minorHAnsi"/>
              </w:rPr>
            </w:pPr>
            <w:r w:rsidRPr="002B79C2">
              <w:rPr>
                <w:rFonts w:cstheme="minorHAnsi"/>
              </w:rPr>
              <w:t xml:space="preserve">No Evaluation </w:t>
            </w:r>
          </w:p>
          <w:p w14:paraId="6978512A" w14:textId="77777777" w:rsidR="00D41241" w:rsidRPr="00D04F63" w:rsidRDefault="00D41241" w:rsidP="00B6013D">
            <w:pPr>
              <w:rPr>
                <w:rFonts w:cstheme="minorHAnsi"/>
              </w:rPr>
            </w:pPr>
          </w:p>
        </w:tc>
      </w:tr>
    </w:tbl>
    <w:p w14:paraId="5BB35026" w14:textId="77777777" w:rsidR="00D41241" w:rsidRDefault="00D41241" w:rsidP="00D41241"/>
    <w:p w14:paraId="13F9AA11" w14:textId="69F5D5CC" w:rsidR="00D41241" w:rsidRPr="00031DE7" w:rsidRDefault="00963D6C" w:rsidP="00963D6C">
      <w:pPr>
        <w:rPr>
          <w:b/>
          <w:color w:val="002060"/>
        </w:rPr>
      </w:pPr>
      <w:r>
        <w:rPr>
          <w:b/>
          <w:color w:val="002060"/>
        </w:rPr>
        <w:br w:type="column"/>
      </w:r>
      <w:r w:rsidR="00D41241" w:rsidRPr="00BC2ED4">
        <w:rPr>
          <w:b/>
          <w:color w:val="002060"/>
        </w:rPr>
        <w:t xml:space="preserve">Table </w:t>
      </w:r>
      <w:r w:rsidR="00D41241">
        <w:rPr>
          <w:b/>
          <w:color w:val="002060"/>
        </w:rPr>
        <w:t>8</w:t>
      </w:r>
      <w:r w:rsidR="00D41241" w:rsidRPr="00BC2ED4">
        <w:rPr>
          <w:b/>
          <w:color w:val="002060"/>
        </w:rPr>
        <w:t xml:space="preserve">: </w:t>
      </w:r>
      <w:r w:rsidR="00D41241">
        <w:rPr>
          <w:b/>
          <w:color w:val="002060"/>
        </w:rPr>
        <w:t>R</w:t>
      </w:r>
      <w:r w:rsidR="00D41241" w:rsidRPr="00BC2ED4">
        <w:rPr>
          <w:b/>
          <w:color w:val="002060"/>
        </w:rPr>
        <w:t xml:space="preserve">ange of Early Childhood (birth to five or six) programs which may encourage participation in preschool in </w:t>
      </w:r>
      <w:r w:rsidR="00D41241" w:rsidRPr="00DB6B18">
        <w:rPr>
          <w:b/>
          <w:color w:val="002060"/>
        </w:rPr>
        <w:t xml:space="preserve">Year Before </w:t>
      </w:r>
      <w:r w:rsidR="00A65D8F">
        <w:rPr>
          <w:b/>
          <w:color w:val="002060"/>
        </w:rPr>
        <w:t>Full-time</w:t>
      </w:r>
      <w:r w:rsidR="00D41241">
        <w:rPr>
          <w:b/>
          <w:color w:val="002060"/>
        </w:rPr>
        <w:t xml:space="preserve"> Schooling</w:t>
      </w:r>
    </w:p>
    <w:p w14:paraId="6BFE0000" w14:textId="77777777" w:rsidR="00D41241" w:rsidRDefault="00D41241" w:rsidP="00D41241"/>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5704"/>
        <w:gridCol w:w="3802"/>
        <w:gridCol w:w="1744"/>
      </w:tblGrid>
      <w:tr w:rsidR="00D41241" w:rsidRPr="00F606F2" w14:paraId="4B83D767" w14:textId="77777777" w:rsidTr="00BB6F4C">
        <w:tc>
          <w:tcPr>
            <w:tcW w:w="14175" w:type="dxa"/>
            <w:gridSpan w:val="4"/>
            <w:shd w:val="clear" w:color="auto" w:fill="BFBFBF" w:themeFill="background1" w:themeFillShade="BF"/>
          </w:tcPr>
          <w:p w14:paraId="0A52F830" w14:textId="77777777" w:rsidR="00D41241" w:rsidRPr="002B22A8" w:rsidRDefault="00D41241" w:rsidP="00B6013D">
            <w:pPr>
              <w:rPr>
                <w:rFonts w:eastAsia="Times New Roman"/>
                <w:color w:val="000000"/>
                <w:spacing w:val="2"/>
              </w:rPr>
            </w:pPr>
            <w:r>
              <w:rPr>
                <w:b/>
                <w:color w:val="002060"/>
              </w:rPr>
              <w:t>Australian Capital Territory</w:t>
            </w:r>
          </w:p>
          <w:p w14:paraId="2C080A67" w14:textId="77777777" w:rsidR="00D41241" w:rsidRPr="00F606F2" w:rsidRDefault="00D41241" w:rsidP="00B6013D">
            <w:pPr>
              <w:rPr>
                <w:rFonts w:ascii="Segoe UI Symbol" w:hAnsi="Segoe UI Symbol" w:cs="Segoe UI Symbol"/>
              </w:rPr>
            </w:pPr>
          </w:p>
        </w:tc>
      </w:tr>
      <w:tr w:rsidR="00D41241" w:rsidRPr="00F606F2" w14:paraId="5E41F70C" w14:textId="77777777" w:rsidTr="00BB6F4C">
        <w:tc>
          <w:tcPr>
            <w:tcW w:w="2925" w:type="dxa"/>
            <w:shd w:val="clear" w:color="auto" w:fill="auto"/>
          </w:tcPr>
          <w:p w14:paraId="1BEB56EC" w14:textId="77777777" w:rsidR="00D41241" w:rsidRPr="00F606F2" w:rsidRDefault="00D41241" w:rsidP="00B6013D">
            <w:r w:rsidRPr="00961318">
              <w:rPr>
                <w:b/>
                <w:color w:val="002060"/>
              </w:rPr>
              <w:t>Program or initiative</w:t>
            </w:r>
          </w:p>
        </w:tc>
        <w:tc>
          <w:tcPr>
            <w:tcW w:w="5704" w:type="dxa"/>
            <w:shd w:val="clear" w:color="auto" w:fill="auto"/>
          </w:tcPr>
          <w:p w14:paraId="2E7260AB" w14:textId="77777777" w:rsidR="00D41241" w:rsidRPr="00F606F2" w:rsidRDefault="00D41241" w:rsidP="00B6013D">
            <w:r w:rsidRPr="00961318">
              <w:rPr>
                <w:b/>
                <w:color w:val="002060"/>
              </w:rPr>
              <w:t>Program or initiative</w:t>
            </w:r>
          </w:p>
        </w:tc>
        <w:tc>
          <w:tcPr>
            <w:tcW w:w="3802" w:type="dxa"/>
            <w:shd w:val="clear" w:color="auto" w:fill="auto"/>
          </w:tcPr>
          <w:p w14:paraId="74F35E27" w14:textId="77777777" w:rsidR="00D41241" w:rsidRPr="00F606F2" w:rsidRDefault="00D41241" w:rsidP="00B6013D">
            <w:r w:rsidRPr="00961318">
              <w:rPr>
                <w:b/>
                <w:color w:val="002060"/>
              </w:rPr>
              <w:t>Program or initiative</w:t>
            </w:r>
          </w:p>
        </w:tc>
        <w:tc>
          <w:tcPr>
            <w:tcW w:w="1744" w:type="dxa"/>
            <w:shd w:val="clear" w:color="auto" w:fill="auto"/>
          </w:tcPr>
          <w:p w14:paraId="376FFCCC" w14:textId="77777777" w:rsidR="00D41241" w:rsidRPr="00F606F2" w:rsidRDefault="00D41241" w:rsidP="00B6013D">
            <w:pPr>
              <w:rPr>
                <w:rFonts w:ascii="Segoe UI Symbol" w:hAnsi="Segoe UI Symbol" w:cs="Segoe UI Symbol"/>
              </w:rPr>
            </w:pPr>
            <w:r w:rsidRPr="00961318">
              <w:rPr>
                <w:b/>
                <w:color w:val="002060"/>
              </w:rPr>
              <w:t>Program or initiative</w:t>
            </w:r>
          </w:p>
        </w:tc>
      </w:tr>
      <w:tr w:rsidR="00D41241" w:rsidRPr="00F606F2" w14:paraId="50A16643" w14:textId="77777777" w:rsidTr="00BB6F4C">
        <w:tc>
          <w:tcPr>
            <w:tcW w:w="2925" w:type="dxa"/>
            <w:shd w:val="clear" w:color="auto" w:fill="auto"/>
          </w:tcPr>
          <w:p w14:paraId="23AF7881" w14:textId="77777777" w:rsidR="00D41241" w:rsidRPr="00F606F2" w:rsidRDefault="00D41241" w:rsidP="00B6013D">
            <w:r w:rsidRPr="00961318">
              <w:rPr>
                <w:i/>
              </w:rPr>
              <w:t>Support At Preschool (SAP)</w:t>
            </w:r>
            <w:r>
              <w:rPr>
                <w:i/>
              </w:rPr>
              <w:t xml:space="preserve"> – service under the Network Student Engagement Team (NSET) ACT Education Directorate</w:t>
            </w:r>
          </w:p>
        </w:tc>
        <w:tc>
          <w:tcPr>
            <w:tcW w:w="5704" w:type="dxa"/>
            <w:shd w:val="clear" w:color="auto" w:fill="auto"/>
          </w:tcPr>
          <w:p w14:paraId="1DAEAAFB" w14:textId="77777777" w:rsidR="00D41241" w:rsidRDefault="00D41241" w:rsidP="00B6013D">
            <w:pPr>
              <w:rPr>
                <w:color w:val="000000"/>
              </w:rPr>
            </w:pPr>
            <w:r>
              <w:rPr>
                <w:color w:val="000000"/>
              </w:rPr>
              <w:t>SAP is a service under NSET that w</w:t>
            </w:r>
            <w:r w:rsidRPr="00961318">
              <w:rPr>
                <w:color w:val="000000"/>
              </w:rPr>
              <w:t>orks with schools to support the inclusion of children with developmental delay and disability in their preschool year. SAP support is provided to schools where substantial or extensive adjustments are required to support the child in the play-based preschool program</w:t>
            </w:r>
            <w:r>
              <w:rPr>
                <w:color w:val="000000"/>
              </w:rPr>
              <w:t>.</w:t>
            </w:r>
          </w:p>
          <w:p w14:paraId="50E228EA" w14:textId="77777777" w:rsidR="00D41241" w:rsidRPr="00F606F2" w:rsidRDefault="00D41241" w:rsidP="00B6013D">
            <w:r>
              <w:rPr>
                <w:color w:val="000000"/>
              </w:rPr>
              <w:t>This is a targeted program that supports children with developmental delay and disability rather than a universal offering. Support is provided for a specific period of time rather than on an ongoing basis.</w:t>
            </w:r>
          </w:p>
        </w:tc>
        <w:tc>
          <w:tcPr>
            <w:tcW w:w="3802" w:type="dxa"/>
            <w:shd w:val="clear" w:color="auto" w:fill="auto"/>
          </w:tcPr>
          <w:p w14:paraId="0F4868A9" w14:textId="77777777" w:rsidR="00D41241" w:rsidRPr="00F606F2" w:rsidRDefault="00D41241" w:rsidP="00B6013D">
            <w:r w:rsidRPr="00961318">
              <w:t>Inclusion of children with developmental delay or disability</w:t>
            </w:r>
          </w:p>
        </w:tc>
        <w:tc>
          <w:tcPr>
            <w:tcW w:w="1744" w:type="dxa"/>
            <w:shd w:val="clear" w:color="auto" w:fill="auto"/>
          </w:tcPr>
          <w:p w14:paraId="2BC6AFD3" w14:textId="167BC0B2" w:rsidR="000960A5" w:rsidRDefault="00D41241" w:rsidP="00B6013D">
            <w:r>
              <w:t>No Evaluatio</w:t>
            </w:r>
            <w:r w:rsidR="000960A5">
              <w:t>n</w:t>
            </w:r>
          </w:p>
          <w:p w14:paraId="78A66AA4" w14:textId="77777777" w:rsidR="000960A5" w:rsidRDefault="000960A5" w:rsidP="00B6013D"/>
          <w:p w14:paraId="67E3D217" w14:textId="2EE22EF4" w:rsidR="00D41241" w:rsidRDefault="00D41241" w:rsidP="00B6013D"/>
          <w:p w14:paraId="29FFAD20" w14:textId="77777777" w:rsidR="00D41241" w:rsidRPr="00F606F2" w:rsidRDefault="00D41241" w:rsidP="00B6013D">
            <w:pPr>
              <w:rPr>
                <w:rFonts w:ascii="Segoe UI Symbol" w:hAnsi="Segoe UI Symbol" w:cs="Segoe UI Symbol"/>
              </w:rPr>
            </w:pPr>
          </w:p>
        </w:tc>
      </w:tr>
      <w:tr w:rsidR="00D41241" w:rsidRPr="00F606F2" w14:paraId="62EF1827" w14:textId="77777777" w:rsidTr="00BB6F4C">
        <w:tc>
          <w:tcPr>
            <w:tcW w:w="2925" w:type="dxa"/>
            <w:shd w:val="clear" w:color="auto" w:fill="auto"/>
          </w:tcPr>
          <w:p w14:paraId="5ADCF6AC" w14:textId="77777777" w:rsidR="00D41241" w:rsidRPr="00961318" w:rsidRDefault="00D41241" w:rsidP="00B6013D">
            <w:pPr>
              <w:rPr>
                <w:i/>
              </w:rPr>
            </w:pPr>
            <w:r w:rsidRPr="00961318">
              <w:rPr>
                <w:i/>
                <w:color w:val="000000"/>
              </w:rPr>
              <w:t>Prep for Pre Program</w:t>
            </w:r>
          </w:p>
        </w:tc>
        <w:tc>
          <w:tcPr>
            <w:tcW w:w="5704" w:type="dxa"/>
            <w:shd w:val="clear" w:color="auto" w:fill="auto"/>
          </w:tcPr>
          <w:p w14:paraId="3AED7A6E" w14:textId="223C7100" w:rsidR="00D41241" w:rsidRDefault="00D41241" w:rsidP="00B6013D">
            <w:pPr>
              <w:rPr>
                <w:color w:val="000000"/>
              </w:rPr>
            </w:pPr>
            <w:r w:rsidRPr="00961318">
              <w:rPr>
                <w:color w:val="000000"/>
              </w:rPr>
              <w:t xml:space="preserve">Five week program runs across a range of early childhood settings and  provides children with experience of what preschool will be like to manage their anxiety and build skills as well as providing support for parents to be effective ‘first teachers’ and engage in their child’s early education. Program provides opportunities for early intervention services to offer supported pathways and developmental assessments for </w:t>
            </w:r>
            <w:r>
              <w:rPr>
                <w:color w:val="000000"/>
              </w:rPr>
              <w:t xml:space="preserve">children experiencing </w:t>
            </w:r>
            <w:r w:rsidRPr="00961318">
              <w:rPr>
                <w:color w:val="000000"/>
              </w:rPr>
              <w:t>vulnerab</w:t>
            </w:r>
            <w:r>
              <w:rPr>
                <w:color w:val="000000"/>
              </w:rPr>
              <w:t>ility</w:t>
            </w:r>
            <w:r w:rsidRPr="00961318">
              <w:rPr>
                <w:color w:val="000000"/>
              </w:rPr>
              <w:t xml:space="preserve"> prior to starting preschool.</w:t>
            </w:r>
            <w:r w:rsidR="00E74E96">
              <w:rPr>
                <w:color w:val="000000"/>
              </w:rPr>
              <w:t xml:space="preserve"> </w:t>
            </w:r>
            <w:r>
              <w:t>In 2020 the ACT Government will be expanding the Prep-for-Pre program across a range of early childhood settings.</w:t>
            </w:r>
          </w:p>
        </w:tc>
        <w:tc>
          <w:tcPr>
            <w:tcW w:w="3802" w:type="dxa"/>
            <w:shd w:val="clear" w:color="auto" w:fill="auto"/>
          </w:tcPr>
          <w:p w14:paraId="437EB2AA" w14:textId="77777777" w:rsidR="00D41241" w:rsidRPr="00961318" w:rsidRDefault="00D41241" w:rsidP="00B6013D">
            <w:r>
              <w:t>Ensuring that families have positive experiences when engaging with preschool</w:t>
            </w:r>
          </w:p>
        </w:tc>
        <w:tc>
          <w:tcPr>
            <w:tcW w:w="1744" w:type="dxa"/>
            <w:shd w:val="clear" w:color="auto" w:fill="auto"/>
          </w:tcPr>
          <w:p w14:paraId="6E990264" w14:textId="084B7CCC" w:rsidR="00D41241" w:rsidRDefault="00D41241" w:rsidP="00B6013D">
            <w:r>
              <w:t xml:space="preserve">Evaluation Completed </w:t>
            </w:r>
          </w:p>
          <w:p w14:paraId="7EFD9FF9" w14:textId="77777777" w:rsidR="00D41241" w:rsidRDefault="00D41241" w:rsidP="00B6013D"/>
        </w:tc>
      </w:tr>
      <w:tr w:rsidR="00D41241" w:rsidRPr="00F606F2" w14:paraId="36DF38D0" w14:textId="77777777" w:rsidTr="00BB6F4C">
        <w:tc>
          <w:tcPr>
            <w:tcW w:w="2925" w:type="dxa"/>
            <w:shd w:val="clear" w:color="auto" w:fill="auto"/>
          </w:tcPr>
          <w:p w14:paraId="097E8463" w14:textId="77777777" w:rsidR="00D41241" w:rsidRPr="00961318" w:rsidRDefault="00D41241" w:rsidP="00B6013D">
            <w:pPr>
              <w:rPr>
                <w:i/>
                <w:color w:val="000000"/>
              </w:rPr>
            </w:pPr>
            <w:r>
              <w:rPr>
                <w:i/>
              </w:rPr>
              <w:t>Early years engagement officers</w:t>
            </w:r>
          </w:p>
        </w:tc>
        <w:tc>
          <w:tcPr>
            <w:tcW w:w="5704" w:type="dxa"/>
            <w:shd w:val="clear" w:color="auto" w:fill="auto"/>
          </w:tcPr>
          <w:p w14:paraId="55A972E0" w14:textId="77777777" w:rsidR="00D41241" w:rsidRPr="00961318" w:rsidRDefault="00D41241" w:rsidP="00B6013D">
            <w:pPr>
              <w:rPr>
                <w:color w:val="000000"/>
              </w:rPr>
            </w:pPr>
            <w:r>
              <w:rPr>
                <w:rFonts w:cs="System"/>
              </w:rPr>
              <w:t>Early Years Engagement Officers to effectively connect Aboriginal and Torres Strait Islander families between Koori Preschools, schools and Child and Family Centres</w:t>
            </w:r>
          </w:p>
        </w:tc>
        <w:tc>
          <w:tcPr>
            <w:tcW w:w="3802" w:type="dxa"/>
            <w:shd w:val="clear" w:color="auto" w:fill="auto"/>
          </w:tcPr>
          <w:p w14:paraId="60A8DBF5" w14:textId="1E71C3C9" w:rsidR="00D41241" w:rsidRDefault="00D41241" w:rsidP="00E74E96">
            <w:pPr>
              <w:ind w:right="-150"/>
            </w:pPr>
            <w:r>
              <w:rPr>
                <w:rFonts w:cs="System"/>
              </w:rPr>
              <w:t>Supporting enrolment and attendance in prog</w:t>
            </w:r>
            <w:r w:rsidR="00E74E96">
              <w:rPr>
                <w:rFonts w:cs="System"/>
              </w:rPr>
              <w:t>rams at both Koori Preschool &amp; the Child &amp;</w:t>
            </w:r>
            <w:r>
              <w:rPr>
                <w:rFonts w:cs="System"/>
              </w:rPr>
              <w:t xml:space="preserve"> Family Centres as well strong outcomes and engagement for children and their families.</w:t>
            </w:r>
          </w:p>
        </w:tc>
        <w:tc>
          <w:tcPr>
            <w:tcW w:w="1744" w:type="dxa"/>
            <w:shd w:val="clear" w:color="auto" w:fill="auto"/>
          </w:tcPr>
          <w:p w14:paraId="490B2503" w14:textId="5E122AEB" w:rsidR="00D41241" w:rsidRDefault="00D41241" w:rsidP="00B6013D">
            <w:r>
              <w:t xml:space="preserve">No Evaluation </w:t>
            </w:r>
          </w:p>
          <w:p w14:paraId="4B97CA37" w14:textId="77777777" w:rsidR="00D41241" w:rsidRPr="00F27CF6" w:rsidRDefault="00D41241" w:rsidP="00B6013D"/>
          <w:p w14:paraId="19358FED" w14:textId="77777777" w:rsidR="00D41241" w:rsidRDefault="00D41241" w:rsidP="00B6013D"/>
        </w:tc>
      </w:tr>
      <w:tr w:rsidR="00D41241" w:rsidRPr="00F606F2" w14:paraId="42845FDB" w14:textId="77777777" w:rsidTr="00BB6F4C">
        <w:tc>
          <w:tcPr>
            <w:tcW w:w="2925" w:type="dxa"/>
            <w:shd w:val="clear" w:color="auto" w:fill="auto"/>
          </w:tcPr>
          <w:p w14:paraId="2C934281" w14:textId="77777777" w:rsidR="00D41241" w:rsidRDefault="00D41241" w:rsidP="00B6013D">
            <w:pPr>
              <w:rPr>
                <w:i/>
              </w:rPr>
            </w:pPr>
            <w:r w:rsidRPr="00B21E12">
              <w:rPr>
                <w:i/>
              </w:rPr>
              <w:t>Koori Preschool Program</w:t>
            </w:r>
          </w:p>
        </w:tc>
        <w:tc>
          <w:tcPr>
            <w:tcW w:w="5704" w:type="dxa"/>
            <w:shd w:val="clear" w:color="auto" w:fill="auto"/>
          </w:tcPr>
          <w:p w14:paraId="286B1885" w14:textId="77777777" w:rsidR="00D41241" w:rsidRDefault="00D41241" w:rsidP="00B6013D">
            <w:pPr>
              <w:rPr>
                <w:rFonts w:cs="System"/>
              </w:rPr>
            </w:pPr>
            <w:r w:rsidRPr="00B21E12">
              <w:rPr>
                <w:color w:val="000000"/>
              </w:rPr>
              <w:t>Provides 3-5 year old children with rich, play-based experiences aligned with the Early Years Learning Framework, in a culturally safe environment that includes Aboriginal and Torres Strait Islander perspectives across the curriculum</w:t>
            </w:r>
            <w:r>
              <w:rPr>
                <w:color w:val="000000"/>
              </w:rPr>
              <w:t>. Children under the age of three can attend with a parent or carer</w:t>
            </w:r>
          </w:p>
        </w:tc>
        <w:tc>
          <w:tcPr>
            <w:tcW w:w="3802" w:type="dxa"/>
            <w:shd w:val="clear" w:color="auto" w:fill="auto"/>
          </w:tcPr>
          <w:p w14:paraId="2F986F00" w14:textId="77777777" w:rsidR="00D41241" w:rsidRDefault="00D41241" w:rsidP="00B6013D">
            <w:pPr>
              <w:rPr>
                <w:rFonts w:cs="System"/>
              </w:rPr>
            </w:pPr>
            <w:r w:rsidRPr="00B21E12">
              <w:rPr>
                <w:color w:val="000000"/>
              </w:rPr>
              <w:t>To develop strong partnerships with families, support parent engagement in children’s learning, increase enrolment and attendance, and link families with other programs that strengthen community and cultural connections</w:t>
            </w:r>
          </w:p>
        </w:tc>
        <w:tc>
          <w:tcPr>
            <w:tcW w:w="1744" w:type="dxa"/>
            <w:shd w:val="clear" w:color="auto" w:fill="auto"/>
          </w:tcPr>
          <w:p w14:paraId="05E70DD3" w14:textId="72C62350" w:rsidR="00D41241" w:rsidRDefault="00D41241" w:rsidP="00B6013D">
            <w:r>
              <w:t xml:space="preserve">Evaluation </w:t>
            </w:r>
            <w:r w:rsidR="000960A5">
              <w:t>Completed</w:t>
            </w:r>
          </w:p>
          <w:p w14:paraId="75FB3DF2" w14:textId="77777777" w:rsidR="00D41241" w:rsidRPr="00963D6C" w:rsidRDefault="00BA469C" w:rsidP="00B6013D">
            <w:pPr>
              <w:rPr>
                <w:sz w:val="16"/>
                <w:szCs w:val="16"/>
              </w:rPr>
            </w:pPr>
            <w:hyperlink r:id="rId41" w:history="1">
              <w:r w:rsidR="00D41241" w:rsidRPr="00963D6C">
                <w:rPr>
                  <w:rStyle w:val="Hyperlink"/>
                  <w:sz w:val="16"/>
                  <w:szCs w:val="16"/>
                </w:rPr>
                <w:t>https://www.education.act.gov.au/__data/assets/pdf_file/0010/1098676/Evaluation-Report-Early-Childhood-Schools-and-Koori-Pre-Program.pdf</w:t>
              </w:r>
            </w:hyperlink>
          </w:p>
        </w:tc>
      </w:tr>
      <w:tr w:rsidR="00D41241" w:rsidRPr="00F606F2" w14:paraId="5A0C5B0E" w14:textId="77777777" w:rsidTr="00BB6F4C">
        <w:tc>
          <w:tcPr>
            <w:tcW w:w="2925" w:type="dxa"/>
            <w:shd w:val="clear" w:color="auto" w:fill="auto"/>
          </w:tcPr>
          <w:p w14:paraId="6B5E209C" w14:textId="77777777" w:rsidR="00D41241" w:rsidRPr="00B21E12" w:rsidRDefault="00D41241" w:rsidP="00B6013D">
            <w:pPr>
              <w:rPr>
                <w:i/>
              </w:rPr>
            </w:pPr>
            <w:r>
              <w:rPr>
                <w:bCs/>
                <w:i/>
                <w:color w:val="000000"/>
              </w:rPr>
              <w:t>Child and Family Centre programs (</w:t>
            </w:r>
            <w:r w:rsidRPr="00B21E12">
              <w:rPr>
                <w:bCs/>
                <w:i/>
                <w:color w:val="000000"/>
              </w:rPr>
              <w:t>Playgroups</w:t>
            </w:r>
            <w:r>
              <w:rPr>
                <w:bCs/>
                <w:i/>
                <w:color w:val="000000"/>
              </w:rPr>
              <w:t>)</w:t>
            </w:r>
          </w:p>
        </w:tc>
        <w:tc>
          <w:tcPr>
            <w:tcW w:w="5704" w:type="dxa"/>
            <w:shd w:val="clear" w:color="auto" w:fill="auto"/>
          </w:tcPr>
          <w:p w14:paraId="1515E887" w14:textId="77777777" w:rsidR="00D41241" w:rsidRPr="00B21E12" w:rsidRDefault="00D41241" w:rsidP="00B6013D">
            <w:pPr>
              <w:rPr>
                <w:color w:val="000000"/>
              </w:rPr>
            </w:pPr>
            <w:r w:rsidRPr="00B21E12">
              <w:rPr>
                <w:color w:val="000000"/>
              </w:rPr>
              <w:t xml:space="preserve">Playgroups run by Child and Family Centres. </w:t>
            </w:r>
            <w:r>
              <w:rPr>
                <w:color w:val="000000"/>
              </w:rPr>
              <w:t xml:space="preserve"> Some playgroups specifically cater for groups such as Aboriginal and Torres Strait Islander families, culturally and linguistically diverse families, parents or carers who have experienced mental health concerns, or people who have experienced family violence. </w:t>
            </w:r>
          </w:p>
        </w:tc>
        <w:tc>
          <w:tcPr>
            <w:tcW w:w="3802" w:type="dxa"/>
            <w:shd w:val="clear" w:color="auto" w:fill="auto"/>
          </w:tcPr>
          <w:p w14:paraId="04862D3B" w14:textId="5567BC77" w:rsidR="00D41241" w:rsidRPr="00B21E12" w:rsidRDefault="00D41241" w:rsidP="00B6013D">
            <w:pPr>
              <w:rPr>
                <w:color w:val="000000"/>
              </w:rPr>
            </w:pPr>
            <w:r>
              <w:rPr>
                <w:rFonts w:cs="Calibri"/>
              </w:rPr>
              <w:t>Connecting families with the community and a range of services they may need.</w:t>
            </w:r>
          </w:p>
        </w:tc>
        <w:tc>
          <w:tcPr>
            <w:tcW w:w="1744" w:type="dxa"/>
            <w:shd w:val="clear" w:color="auto" w:fill="auto"/>
          </w:tcPr>
          <w:p w14:paraId="559541DB" w14:textId="0F1EB45A" w:rsidR="00D41241" w:rsidRDefault="00963D6C" w:rsidP="00963D6C">
            <w:r>
              <w:t xml:space="preserve">No Evaluation of </w:t>
            </w:r>
            <w:r w:rsidR="00D41241">
              <w:t>ACT specific playgroups but strong evidence base for the effectiveness of playgroups more broadly</w:t>
            </w:r>
          </w:p>
        </w:tc>
      </w:tr>
      <w:tr w:rsidR="00D41241" w:rsidRPr="00F606F2" w14:paraId="1288C9A1" w14:textId="77777777" w:rsidTr="00BB6F4C">
        <w:tc>
          <w:tcPr>
            <w:tcW w:w="2925" w:type="dxa"/>
            <w:shd w:val="clear" w:color="auto" w:fill="auto"/>
          </w:tcPr>
          <w:p w14:paraId="270E0287" w14:textId="77777777" w:rsidR="00D41241" w:rsidRDefault="00D41241" w:rsidP="00B6013D">
            <w:pPr>
              <w:rPr>
                <w:bCs/>
                <w:i/>
                <w:color w:val="000000"/>
              </w:rPr>
            </w:pPr>
            <w:r>
              <w:rPr>
                <w:bCs/>
                <w:i/>
                <w:color w:val="000000"/>
              </w:rPr>
              <w:t>Village for Every Child</w:t>
            </w:r>
          </w:p>
        </w:tc>
        <w:tc>
          <w:tcPr>
            <w:tcW w:w="5704" w:type="dxa"/>
            <w:shd w:val="clear" w:color="auto" w:fill="auto"/>
          </w:tcPr>
          <w:p w14:paraId="5A465814" w14:textId="375B9DE0" w:rsidR="00D41241" w:rsidRPr="00B21E12" w:rsidRDefault="00D41241" w:rsidP="00963D6C">
            <w:pPr>
              <w:rPr>
                <w:color w:val="000000"/>
              </w:rPr>
            </w:pPr>
            <w:r>
              <w:rPr>
                <w:color w:val="000000"/>
              </w:rPr>
              <w:t xml:space="preserve">A collective impact initiative funded by the ACT Government and implemented by </w:t>
            </w:r>
            <w:r w:rsidRPr="001926B5">
              <w:rPr>
                <w:color w:val="000000"/>
              </w:rPr>
              <w:t xml:space="preserve">Uniting Care Kippax </w:t>
            </w:r>
            <w:r>
              <w:rPr>
                <w:color w:val="000000"/>
              </w:rPr>
              <w:t xml:space="preserve">and </w:t>
            </w:r>
            <w:r w:rsidRPr="001926B5">
              <w:rPr>
                <w:color w:val="000000"/>
              </w:rPr>
              <w:t>support partners</w:t>
            </w:r>
            <w:r>
              <w:rPr>
                <w:color w:val="000000"/>
              </w:rPr>
              <w:t xml:space="preserve">. The initiative gets </w:t>
            </w:r>
            <w:r w:rsidRPr="001926B5">
              <w:rPr>
                <w:color w:val="000000"/>
              </w:rPr>
              <w:t xml:space="preserve">key stakeholders in the community </w:t>
            </w:r>
            <w:r>
              <w:rPr>
                <w:color w:val="000000"/>
              </w:rPr>
              <w:t xml:space="preserve">to </w:t>
            </w:r>
            <w:r w:rsidRPr="001926B5">
              <w:rPr>
                <w:color w:val="000000"/>
              </w:rPr>
              <w:t xml:space="preserve">come together with strategic focus and </w:t>
            </w:r>
            <w:r>
              <w:rPr>
                <w:color w:val="000000"/>
              </w:rPr>
              <w:t>work</w:t>
            </w:r>
            <w:r w:rsidRPr="001926B5">
              <w:rPr>
                <w:color w:val="000000"/>
              </w:rPr>
              <w:t xml:space="preserve"> collaboratively to accomplish a population-wide outcome to a complex social problem</w:t>
            </w:r>
            <w:r>
              <w:rPr>
                <w:color w:val="000000"/>
              </w:rPr>
              <w:t>.</w:t>
            </w:r>
          </w:p>
        </w:tc>
        <w:tc>
          <w:tcPr>
            <w:tcW w:w="3802" w:type="dxa"/>
            <w:shd w:val="clear" w:color="auto" w:fill="auto"/>
          </w:tcPr>
          <w:p w14:paraId="57ADEEDA" w14:textId="77777777" w:rsidR="00D41241" w:rsidRPr="009D266C" w:rsidRDefault="00D41241" w:rsidP="00B6013D">
            <w:r w:rsidRPr="002B22A8">
              <w:t>Working towards every child growing up in Belconnen getting a positive start to life and every parent being empowered, equipped and supported to do their best possible job of parenting.</w:t>
            </w:r>
          </w:p>
        </w:tc>
        <w:tc>
          <w:tcPr>
            <w:tcW w:w="1744" w:type="dxa"/>
            <w:shd w:val="clear" w:color="auto" w:fill="auto"/>
          </w:tcPr>
          <w:p w14:paraId="46B0F723" w14:textId="5B87C521" w:rsidR="00D41241" w:rsidRDefault="00D41241" w:rsidP="00B6013D">
            <w:r w:rsidRPr="002B22A8">
              <w:t xml:space="preserve">No </w:t>
            </w:r>
            <w:r>
              <w:t xml:space="preserve">Evaluation </w:t>
            </w:r>
          </w:p>
          <w:p w14:paraId="0E05E0AB" w14:textId="77777777" w:rsidR="00D41241" w:rsidRDefault="00D41241" w:rsidP="00B6013D"/>
        </w:tc>
      </w:tr>
    </w:tbl>
    <w:p w14:paraId="70C620DB" w14:textId="1A77E0F3" w:rsidR="00D41241" w:rsidRDefault="00D41241" w:rsidP="00D41241"/>
    <w:p w14:paraId="03FD9309" w14:textId="77777777" w:rsidR="00192655" w:rsidRDefault="00192655" w:rsidP="00D41241"/>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5704"/>
        <w:gridCol w:w="3802"/>
        <w:gridCol w:w="1744"/>
      </w:tblGrid>
      <w:tr w:rsidR="00D41241" w:rsidRPr="002B22A8" w14:paraId="7A432BF5" w14:textId="77777777" w:rsidTr="00BB6F4C">
        <w:tc>
          <w:tcPr>
            <w:tcW w:w="14175" w:type="dxa"/>
            <w:gridSpan w:val="4"/>
            <w:shd w:val="clear" w:color="auto" w:fill="BFBFBF" w:themeFill="background1" w:themeFillShade="BF"/>
          </w:tcPr>
          <w:p w14:paraId="7BE76133" w14:textId="77777777" w:rsidR="00D41241" w:rsidRPr="002B22A8" w:rsidRDefault="00D41241" w:rsidP="00B6013D">
            <w:pPr>
              <w:rPr>
                <w:rFonts w:eastAsia="Times New Roman"/>
                <w:color w:val="000000"/>
                <w:spacing w:val="2"/>
              </w:rPr>
            </w:pPr>
            <w:r>
              <w:rPr>
                <w:b/>
                <w:color w:val="002060"/>
              </w:rPr>
              <w:t>New South Wales</w:t>
            </w:r>
          </w:p>
          <w:p w14:paraId="7688D43D" w14:textId="77777777" w:rsidR="00D41241" w:rsidRPr="002B22A8" w:rsidRDefault="00D41241" w:rsidP="00B6013D">
            <w:pPr>
              <w:rPr>
                <w:rFonts w:eastAsia="Times New Roman"/>
                <w:color w:val="000000"/>
                <w:spacing w:val="2"/>
              </w:rPr>
            </w:pPr>
          </w:p>
        </w:tc>
      </w:tr>
      <w:tr w:rsidR="00D41241" w:rsidRPr="00961318" w14:paraId="76C2BC12" w14:textId="77777777" w:rsidTr="00BB6F4C">
        <w:trPr>
          <w:tblHeader/>
        </w:trPr>
        <w:tc>
          <w:tcPr>
            <w:tcW w:w="2925" w:type="dxa"/>
            <w:tcBorders>
              <w:top w:val="single" w:sz="4" w:space="0" w:color="auto"/>
              <w:left w:val="single" w:sz="4" w:space="0" w:color="auto"/>
            </w:tcBorders>
            <w:shd w:val="clear" w:color="auto" w:fill="auto"/>
          </w:tcPr>
          <w:p w14:paraId="7DFA4352" w14:textId="77777777" w:rsidR="00D41241" w:rsidRPr="00961318" w:rsidRDefault="00D41241" w:rsidP="00B6013D">
            <w:pPr>
              <w:rPr>
                <w:b/>
                <w:color w:val="002060"/>
              </w:rPr>
            </w:pPr>
            <w:r w:rsidRPr="00961318">
              <w:rPr>
                <w:b/>
                <w:color w:val="002060"/>
              </w:rPr>
              <w:t>Program or initiative</w:t>
            </w:r>
          </w:p>
        </w:tc>
        <w:tc>
          <w:tcPr>
            <w:tcW w:w="5704" w:type="dxa"/>
            <w:tcBorders>
              <w:top w:val="single" w:sz="4" w:space="0" w:color="auto"/>
            </w:tcBorders>
            <w:shd w:val="clear" w:color="auto" w:fill="auto"/>
          </w:tcPr>
          <w:p w14:paraId="04F5A198" w14:textId="77777777" w:rsidR="00D41241" w:rsidRPr="00961318" w:rsidRDefault="00D41241" w:rsidP="00B6013D">
            <w:pPr>
              <w:rPr>
                <w:b/>
                <w:color w:val="002060"/>
              </w:rPr>
            </w:pPr>
            <w:r>
              <w:rPr>
                <w:b/>
                <w:color w:val="002060"/>
              </w:rPr>
              <w:t xml:space="preserve">Details </w:t>
            </w:r>
          </w:p>
        </w:tc>
        <w:tc>
          <w:tcPr>
            <w:tcW w:w="3802" w:type="dxa"/>
            <w:shd w:val="clear" w:color="auto" w:fill="auto"/>
          </w:tcPr>
          <w:p w14:paraId="5E4500FC" w14:textId="77777777" w:rsidR="00D41241" w:rsidRPr="00961318" w:rsidRDefault="00D41241" w:rsidP="00B6013D">
            <w:pPr>
              <w:rPr>
                <w:b/>
                <w:color w:val="002060"/>
              </w:rPr>
            </w:pPr>
            <w:r w:rsidRPr="00961318">
              <w:rPr>
                <w:b/>
                <w:color w:val="002060"/>
              </w:rPr>
              <w:t>Key drivers</w:t>
            </w:r>
          </w:p>
        </w:tc>
        <w:tc>
          <w:tcPr>
            <w:tcW w:w="1744" w:type="dxa"/>
          </w:tcPr>
          <w:p w14:paraId="1843A94D" w14:textId="77777777" w:rsidR="00D41241" w:rsidRPr="00961318" w:rsidRDefault="00D41241" w:rsidP="00B6013D">
            <w:pPr>
              <w:rPr>
                <w:b/>
                <w:color w:val="002060"/>
              </w:rPr>
            </w:pPr>
            <w:r>
              <w:rPr>
                <w:b/>
                <w:color w:val="002060"/>
              </w:rPr>
              <w:t>Evaluation?</w:t>
            </w:r>
          </w:p>
        </w:tc>
      </w:tr>
      <w:tr w:rsidR="00D41241" w14:paraId="604A0A4C" w14:textId="77777777" w:rsidTr="00BB6F4C">
        <w:tc>
          <w:tcPr>
            <w:tcW w:w="2925" w:type="dxa"/>
            <w:shd w:val="clear" w:color="auto" w:fill="auto"/>
          </w:tcPr>
          <w:p w14:paraId="27B5FB39" w14:textId="77777777" w:rsidR="00D41241" w:rsidRPr="00961318" w:rsidRDefault="00D41241" w:rsidP="00B6013D">
            <w:pPr>
              <w:rPr>
                <w:i/>
                <w:color w:val="000000"/>
              </w:rPr>
            </w:pPr>
            <w:r w:rsidRPr="00B21E12">
              <w:rPr>
                <w:rFonts w:cs="Calibri"/>
                <w:i/>
              </w:rPr>
              <w:t>Aboriginal Families as Teachers</w:t>
            </w:r>
          </w:p>
        </w:tc>
        <w:tc>
          <w:tcPr>
            <w:tcW w:w="5704" w:type="dxa"/>
            <w:shd w:val="clear" w:color="auto" w:fill="auto"/>
          </w:tcPr>
          <w:p w14:paraId="4446C76B" w14:textId="77777777" w:rsidR="00D41241" w:rsidRDefault="00D41241" w:rsidP="00B6013D">
            <w:pPr>
              <w:rPr>
                <w:rFonts w:cs="Calibri"/>
              </w:rPr>
            </w:pPr>
            <w:r w:rsidRPr="00B21E12">
              <w:rPr>
                <w:rFonts w:cs="Calibri"/>
              </w:rPr>
              <w:t xml:space="preserve">Aims to strengthen the ability of Aboriginal families to build a </w:t>
            </w:r>
            <w:r>
              <w:rPr>
                <w:rFonts w:cs="Calibri"/>
              </w:rPr>
              <w:t xml:space="preserve">developmentally </w:t>
            </w:r>
            <w:r w:rsidRPr="00B21E12">
              <w:rPr>
                <w:rFonts w:cs="Calibri"/>
              </w:rPr>
              <w:t>rich home learning environment</w:t>
            </w:r>
            <w:r>
              <w:rPr>
                <w:rFonts w:cs="Calibri"/>
              </w:rPr>
              <w:t>, to support children’s early learning and participation in a quality early childhood education program.</w:t>
            </w:r>
          </w:p>
          <w:p w14:paraId="0B7376C7" w14:textId="7B609BD2" w:rsidR="00E74E96" w:rsidRPr="00961318" w:rsidRDefault="00E74E96" w:rsidP="00B6013D"/>
        </w:tc>
        <w:tc>
          <w:tcPr>
            <w:tcW w:w="3802" w:type="dxa"/>
            <w:shd w:val="clear" w:color="auto" w:fill="auto"/>
          </w:tcPr>
          <w:p w14:paraId="67A06531" w14:textId="77777777" w:rsidR="00D41241" w:rsidRPr="00961318" w:rsidRDefault="00D41241" w:rsidP="00B6013D">
            <w:r w:rsidRPr="00141503">
              <w:t>To support the active participation of Aboriginal families in early childhood education</w:t>
            </w:r>
            <w:r>
              <w:t>.</w:t>
            </w:r>
          </w:p>
        </w:tc>
        <w:tc>
          <w:tcPr>
            <w:tcW w:w="1744" w:type="dxa"/>
            <w:shd w:val="clear" w:color="auto" w:fill="auto"/>
          </w:tcPr>
          <w:p w14:paraId="0F56EBC9" w14:textId="77777777" w:rsidR="00D41241" w:rsidRDefault="00D41241" w:rsidP="00B6013D">
            <w:r>
              <w:t xml:space="preserve">External Evaluation </w:t>
            </w:r>
          </w:p>
          <w:p w14:paraId="14A02F7A" w14:textId="77777777" w:rsidR="00D41241" w:rsidRDefault="00D41241" w:rsidP="00B6013D">
            <w:r>
              <w:t xml:space="preserve">Not Publically Available </w:t>
            </w:r>
          </w:p>
        </w:tc>
      </w:tr>
      <w:tr w:rsidR="00D41241" w14:paraId="1C4056DB" w14:textId="77777777" w:rsidTr="00BB6F4C">
        <w:tc>
          <w:tcPr>
            <w:tcW w:w="2925" w:type="dxa"/>
            <w:shd w:val="clear" w:color="auto" w:fill="auto"/>
          </w:tcPr>
          <w:p w14:paraId="137A018B" w14:textId="77777777" w:rsidR="00D41241" w:rsidRPr="00B21E12" w:rsidRDefault="00D41241" w:rsidP="00B6013D">
            <w:pPr>
              <w:rPr>
                <w:rFonts w:cs="Calibri"/>
                <w:i/>
              </w:rPr>
            </w:pPr>
            <w:r w:rsidRPr="00B21E12">
              <w:rPr>
                <w:rFonts w:cs="Calibri"/>
                <w:i/>
              </w:rPr>
              <w:t>Start Strong Pathways</w:t>
            </w:r>
          </w:p>
        </w:tc>
        <w:tc>
          <w:tcPr>
            <w:tcW w:w="5704" w:type="dxa"/>
            <w:shd w:val="clear" w:color="auto" w:fill="auto"/>
          </w:tcPr>
          <w:p w14:paraId="5A8BFD1B" w14:textId="1D2D14E0" w:rsidR="00D41241" w:rsidRPr="00B21E12" w:rsidRDefault="00D41241" w:rsidP="00963D6C">
            <w:pPr>
              <w:rPr>
                <w:rFonts w:cs="Calibri"/>
              </w:rPr>
            </w:pPr>
            <w:r>
              <w:t xml:space="preserve">Helps support educational engagement </w:t>
            </w:r>
            <w:r w:rsidRPr="00B50BD9">
              <w:t>of children too young to receive a preschool education</w:t>
            </w:r>
            <w:r>
              <w:t>, support pathways to preschool and promote the importance of early childhood education to parents and communities.</w:t>
            </w:r>
          </w:p>
        </w:tc>
        <w:tc>
          <w:tcPr>
            <w:tcW w:w="3802" w:type="dxa"/>
            <w:shd w:val="clear" w:color="auto" w:fill="auto"/>
          </w:tcPr>
          <w:p w14:paraId="4779C97A" w14:textId="77777777" w:rsidR="00D41241" w:rsidRPr="00141503" w:rsidRDefault="00D41241" w:rsidP="00B6013D">
            <w:r>
              <w:t>To increase engagement for children prior to participation in a preschool program.</w:t>
            </w:r>
          </w:p>
        </w:tc>
        <w:tc>
          <w:tcPr>
            <w:tcW w:w="1744" w:type="dxa"/>
            <w:shd w:val="clear" w:color="auto" w:fill="auto"/>
          </w:tcPr>
          <w:p w14:paraId="263330E7" w14:textId="77777777" w:rsidR="00D41241" w:rsidRDefault="00D41241" w:rsidP="00B6013D">
            <w:r>
              <w:t xml:space="preserve">No Evaluation </w:t>
            </w:r>
          </w:p>
          <w:p w14:paraId="14E7D0C2" w14:textId="77777777" w:rsidR="00D41241" w:rsidRDefault="00D41241" w:rsidP="00B6013D">
            <w:pPr>
              <w:rPr>
                <w:rFonts w:ascii="MS Gothic" w:eastAsia="MS Gothic" w:hAnsi="MS Gothic" w:cstheme="minorHAnsi"/>
              </w:rPr>
            </w:pPr>
          </w:p>
        </w:tc>
      </w:tr>
    </w:tbl>
    <w:p w14:paraId="14262425" w14:textId="66FF9044" w:rsidR="00D41241" w:rsidRDefault="00D41241" w:rsidP="00D41241"/>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5704"/>
        <w:gridCol w:w="3802"/>
        <w:gridCol w:w="1744"/>
      </w:tblGrid>
      <w:tr w:rsidR="00D41241" w:rsidRPr="002B22A8" w14:paraId="76F444A9" w14:textId="77777777" w:rsidTr="00BB6F4C">
        <w:tc>
          <w:tcPr>
            <w:tcW w:w="14175" w:type="dxa"/>
            <w:gridSpan w:val="4"/>
            <w:shd w:val="clear" w:color="auto" w:fill="BFBFBF" w:themeFill="background1" w:themeFillShade="BF"/>
          </w:tcPr>
          <w:p w14:paraId="16454BE0" w14:textId="77777777" w:rsidR="00D41241" w:rsidRPr="002B22A8" w:rsidRDefault="00D41241" w:rsidP="00B6013D">
            <w:pPr>
              <w:rPr>
                <w:rFonts w:eastAsia="Times New Roman"/>
                <w:color w:val="000000"/>
                <w:spacing w:val="2"/>
              </w:rPr>
            </w:pPr>
            <w:r>
              <w:rPr>
                <w:b/>
                <w:color w:val="002060"/>
              </w:rPr>
              <w:t>Northern Territory</w:t>
            </w:r>
          </w:p>
          <w:p w14:paraId="7B7C9F32" w14:textId="77777777" w:rsidR="00D41241" w:rsidRPr="002B22A8" w:rsidRDefault="00D41241" w:rsidP="00B6013D">
            <w:pPr>
              <w:rPr>
                <w:rFonts w:eastAsia="Times New Roman"/>
                <w:color w:val="000000"/>
                <w:spacing w:val="2"/>
              </w:rPr>
            </w:pPr>
          </w:p>
        </w:tc>
      </w:tr>
      <w:tr w:rsidR="00D41241" w:rsidRPr="00961318" w14:paraId="24E2287C" w14:textId="77777777" w:rsidTr="00BB6F4C">
        <w:trPr>
          <w:tblHeader/>
        </w:trPr>
        <w:tc>
          <w:tcPr>
            <w:tcW w:w="2925" w:type="dxa"/>
            <w:tcBorders>
              <w:top w:val="single" w:sz="4" w:space="0" w:color="auto"/>
              <w:left w:val="single" w:sz="4" w:space="0" w:color="auto"/>
            </w:tcBorders>
            <w:shd w:val="clear" w:color="auto" w:fill="auto"/>
          </w:tcPr>
          <w:p w14:paraId="13FAFF35" w14:textId="77777777" w:rsidR="00D41241" w:rsidRPr="00961318" w:rsidRDefault="00D41241" w:rsidP="00B6013D">
            <w:pPr>
              <w:rPr>
                <w:b/>
                <w:color w:val="002060"/>
              </w:rPr>
            </w:pPr>
            <w:r w:rsidRPr="00961318">
              <w:rPr>
                <w:b/>
                <w:color w:val="002060"/>
              </w:rPr>
              <w:t>Program or initiative</w:t>
            </w:r>
          </w:p>
        </w:tc>
        <w:tc>
          <w:tcPr>
            <w:tcW w:w="5704" w:type="dxa"/>
            <w:tcBorders>
              <w:top w:val="single" w:sz="4" w:space="0" w:color="auto"/>
            </w:tcBorders>
            <w:shd w:val="clear" w:color="auto" w:fill="auto"/>
          </w:tcPr>
          <w:p w14:paraId="1F1D58D1" w14:textId="77777777" w:rsidR="00D41241" w:rsidRPr="00961318" w:rsidRDefault="00D41241" w:rsidP="00B6013D">
            <w:pPr>
              <w:rPr>
                <w:b/>
                <w:color w:val="002060"/>
              </w:rPr>
            </w:pPr>
            <w:r>
              <w:rPr>
                <w:b/>
                <w:color w:val="002060"/>
              </w:rPr>
              <w:t xml:space="preserve">Details </w:t>
            </w:r>
          </w:p>
        </w:tc>
        <w:tc>
          <w:tcPr>
            <w:tcW w:w="3802" w:type="dxa"/>
            <w:shd w:val="clear" w:color="auto" w:fill="auto"/>
          </w:tcPr>
          <w:p w14:paraId="43E5051F" w14:textId="77777777" w:rsidR="00D41241" w:rsidRPr="00961318" w:rsidRDefault="00D41241" w:rsidP="00B6013D">
            <w:pPr>
              <w:rPr>
                <w:b/>
                <w:color w:val="002060"/>
              </w:rPr>
            </w:pPr>
            <w:r w:rsidRPr="00961318">
              <w:rPr>
                <w:b/>
                <w:color w:val="002060"/>
              </w:rPr>
              <w:t>Key drivers</w:t>
            </w:r>
          </w:p>
        </w:tc>
        <w:tc>
          <w:tcPr>
            <w:tcW w:w="1744" w:type="dxa"/>
          </w:tcPr>
          <w:p w14:paraId="44023CC5" w14:textId="77777777" w:rsidR="00D41241" w:rsidRPr="00961318" w:rsidRDefault="00D41241" w:rsidP="00B6013D">
            <w:pPr>
              <w:rPr>
                <w:b/>
                <w:color w:val="002060"/>
              </w:rPr>
            </w:pPr>
            <w:r>
              <w:rPr>
                <w:b/>
                <w:color w:val="002060"/>
              </w:rPr>
              <w:t>Evaluation?</w:t>
            </w:r>
          </w:p>
        </w:tc>
      </w:tr>
      <w:tr w:rsidR="00D41241" w14:paraId="7BBA52EE" w14:textId="77777777" w:rsidTr="00BB6F4C">
        <w:tc>
          <w:tcPr>
            <w:tcW w:w="2925" w:type="dxa"/>
            <w:shd w:val="clear" w:color="auto" w:fill="auto"/>
          </w:tcPr>
          <w:p w14:paraId="1337EB80" w14:textId="77777777" w:rsidR="00D41241" w:rsidRPr="00961318" w:rsidRDefault="00D41241" w:rsidP="00B6013D">
            <w:pPr>
              <w:rPr>
                <w:i/>
                <w:color w:val="000000"/>
              </w:rPr>
            </w:pPr>
            <w:r w:rsidRPr="00B21E12">
              <w:rPr>
                <w:i/>
                <w:color w:val="000000"/>
              </w:rPr>
              <w:t>Northern Territory Early Childhood Transitioning Package (NTECT)</w:t>
            </w:r>
          </w:p>
        </w:tc>
        <w:tc>
          <w:tcPr>
            <w:tcW w:w="5704" w:type="dxa"/>
            <w:shd w:val="clear" w:color="auto" w:fill="auto"/>
          </w:tcPr>
          <w:p w14:paraId="635247CB" w14:textId="77777777" w:rsidR="00D41241" w:rsidRPr="00961318" w:rsidRDefault="00D41241" w:rsidP="00B6013D">
            <w:r w:rsidRPr="00B21E12">
              <w:rPr>
                <w:color w:val="000000"/>
              </w:rPr>
              <w:t xml:space="preserve">Supports collaborative relationships to enable the implementation of sustainable practices and processes that ensure that schools, families and children are ready for school. </w:t>
            </w:r>
          </w:p>
        </w:tc>
        <w:tc>
          <w:tcPr>
            <w:tcW w:w="3802" w:type="dxa"/>
            <w:shd w:val="clear" w:color="auto" w:fill="auto"/>
          </w:tcPr>
          <w:p w14:paraId="66991CB9" w14:textId="77777777" w:rsidR="00D41241" w:rsidRPr="00961318" w:rsidRDefault="00D41241" w:rsidP="00B6013D">
            <w:r w:rsidRPr="00B21E12">
              <w:rPr>
                <w:color w:val="000000"/>
              </w:rPr>
              <w:t xml:space="preserve">To provide a </w:t>
            </w:r>
            <w:r>
              <w:rPr>
                <w:color w:val="000000"/>
              </w:rPr>
              <w:t xml:space="preserve">rubric for positive transitions for young children and their families from preschool to school. </w:t>
            </w:r>
          </w:p>
        </w:tc>
        <w:tc>
          <w:tcPr>
            <w:tcW w:w="1744" w:type="dxa"/>
            <w:shd w:val="clear" w:color="auto" w:fill="auto"/>
          </w:tcPr>
          <w:p w14:paraId="1AEFC737" w14:textId="77777777" w:rsidR="00D41241" w:rsidRDefault="00D41241" w:rsidP="00B6013D">
            <w:r>
              <w:rPr>
                <w:color w:val="000000"/>
              </w:rPr>
              <w:t>Process evaluation planned in 2020.</w:t>
            </w:r>
          </w:p>
        </w:tc>
      </w:tr>
      <w:tr w:rsidR="00D41241" w14:paraId="5820E1BC" w14:textId="77777777" w:rsidTr="00BB6F4C">
        <w:tc>
          <w:tcPr>
            <w:tcW w:w="2925" w:type="dxa"/>
            <w:shd w:val="clear" w:color="auto" w:fill="auto"/>
          </w:tcPr>
          <w:p w14:paraId="360C7F61" w14:textId="77777777" w:rsidR="00D41241" w:rsidRPr="00B21E12" w:rsidRDefault="00D41241" w:rsidP="00B6013D">
            <w:pPr>
              <w:rPr>
                <w:i/>
                <w:color w:val="000000"/>
              </w:rPr>
            </w:pPr>
            <w:r w:rsidRPr="00B21E12">
              <w:rPr>
                <w:i/>
                <w:color w:val="000000"/>
              </w:rPr>
              <w:t>Early Entry to Preschool</w:t>
            </w:r>
          </w:p>
        </w:tc>
        <w:tc>
          <w:tcPr>
            <w:tcW w:w="5704" w:type="dxa"/>
            <w:shd w:val="clear" w:color="auto" w:fill="auto"/>
          </w:tcPr>
          <w:p w14:paraId="187F7D17" w14:textId="77777777" w:rsidR="00D41241" w:rsidRPr="00B21E12" w:rsidRDefault="00D41241" w:rsidP="00B6013D">
            <w:pPr>
              <w:rPr>
                <w:color w:val="000000"/>
              </w:rPr>
            </w:pPr>
            <w:r w:rsidRPr="00B21E12">
              <w:rPr>
                <w:shd w:val="clear" w:color="auto" w:fill="FFFFFF"/>
              </w:rPr>
              <w:t>Children living in very remote areas can attend preschool from the age of three, provided</w:t>
            </w:r>
            <w:r>
              <w:rPr>
                <w:shd w:val="clear" w:color="auto" w:fill="FFFFFF"/>
              </w:rPr>
              <w:t xml:space="preserve"> they are accompanied by</w:t>
            </w:r>
            <w:r w:rsidRPr="00B21E12">
              <w:rPr>
                <w:shd w:val="clear" w:color="auto" w:fill="FFFFFF"/>
              </w:rPr>
              <w:t xml:space="preserve"> a parent/guardian</w:t>
            </w:r>
            <w:r>
              <w:rPr>
                <w:shd w:val="clear" w:color="auto" w:fill="FFFFFF"/>
              </w:rPr>
              <w:t xml:space="preserve">. Children living in very remote communities can enrol in and attend preschool from the age of three years and six months. Preschool is offered free of charge and operates for 15 hours per week.  </w:t>
            </w:r>
          </w:p>
        </w:tc>
        <w:tc>
          <w:tcPr>
            <w:tcW w:w="3802" w:type="dxa"/>
            <w:shd w:val="clear" w:color="auto" w:fill="auto"/>
          </w:tcPr>
          <w:p w14:paraId="6DEE8E74" w14:textId="77777777" w:rsidR="00D41241" w:rsidRPr="00B21E12" w:rsidRDefault="00D41241" w:rsidP="00B6013D">
            <w:pPr>
              <w:rPr>
                <w:color w:val="000000"/>
              </w:rPr>
            </w:pPr>
            <w:r>
              <w:t xml:space="preserve">Provide an additional year of preschool to all children living in very remote Northern Territory communities. </w:t>
            </w:r>
          </w:p>
        </w:tc>
        <w:tc>
          <w:tcPr>
            <w:tcW w:w="1744" w:type="dxa"/>
            <w:shd w:val="clear" w:color="auto" w:fill="auto"/>
          </w:tcPr>
          <w:p w14:paraId="73DBF3B2" w14:textId="7B9BBDAC" w:rsidR="00D41241" w:rsidRDefault="00963D6C" w:rsidP="00B6013D">
            <w:pPr>
              <w:rPr>
                <w:color w:val="000000"/>
              </w:rPr>
            </w:pPr>
            <w:r>
              <w:rPr>
                <w:color w:val="000000"/>
              </w:rPr>
              <w:t>Not located</w:t>
            </w:r>
          </w:p>
        </w:tc>
      </w:tr>
    </w:tbl>
    <w:p w14:paraId="0080BCB2" w14:textId="7C9D1264" w:rsidR="00D41241" w:rsidRDefault="00D41241" w:rsidP="00D41241"/>
    <w:p w14:paraId="30D77B71" w14:textId="77777777" w:rsidR="00192655" w:rsidRDefault="00192655" w:rsidP="00D41241"/>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5704"/>
        <w:gridCol w:w="3802"/>
        <w:gridCol w:w="1744"/>
      </w:tblGrid>
      <w:tr w:rsidR="00D41241" w:rsidRPr="002B22A8" w14:paraId="4F5A7D4F" w14:textId="77777777" w:rsidTr="00BB6F4C">
        <w:tc>
          <w:tcPr>
            <w:tcW w:w="14175" w:type="dxa"/>
            <w:gridSpan w:val="4"/>
            <w:shd w:val="clear" w:color="auto" w:fill="BFBFBF" w:themeFill="background1" w:themeFillShade="BF"/>
          </w:tcPr>
          <w:p w14:paraId="65D3B282" w14:textId="77777777" w:rsidR="00D41241" w:rsidRPr="002B22A8" w:rsidRDefault="00D41241" w:rsidP="00B6013D">
            <w:pPr>
              <w:rPr>
                <w:rFonts w:eastAsia="Times New Roman"/>
                <w:color w:val="000000"/>
                <w:spacing w:val="2"/>
              </w:rPr>
            </w:pPr>
            <w:r>
              <w:rPr>
                <w:b/>
                <w:color w:val="002060"/>
              </w:rPr>
              <w:t>Queensland</w:t>
            </w:r>
          </w:p>
          <w:p w14:paraId="057407C3" w14:textId="77777777" w:rsidR="00D41241" w:rsidRPr="002B22A8" w:rsidRDefault="00D41241" w:rsidP="00B6013D">
            <w:pPr>
              <w:rPr>
                <w:rFonts w:eastAsia="Times New Roman"/>
                <w:color w:val="000000"/>
                <w:spacing w:val="2"/>
              </w:rPr>
            </w:pPr>
          </w:p>
        </w:tc>
      </w:tr>
      <w:tr w:rsidR="00D41241" w:rsidRPr="00961318" w14:paraId="0DBECF83" w14:textId="77777777" w:rsidTr="00BB6F4C">
        <w:trPr>
          <w:tblHeader/>
        </w:trPr>
        <w:tc>
          <w:tcPr>
            <w:tcW w:w="2925" w:type="dxa"/>
            <w:tcBorders>
              <w:top w:val="single" w:sz="4" w:space="0" w:color="auto"/>
              <w:left w:val="single" w:sz="4" w:space="0" w:color="auto"/>
            </w:tcBorders>
            <w:shd w:val="clear" w:color="auto" w:fill="auto"/>
          </w:tcPr>
          <w:p w14:paraId="5D8625C0" w14:textId="77777777" w:rsidR="00D41241" w:rsidRPr="00961318" w:rsidRDefault="00D41241" w:rsidP="00B6013D">
            <w:pPr>
              <w:rPr>
                <w:b/>
                <w:color w:val="002060"/>
              </w:rPr>
            </w:pPr>
            <w:r w:rsidRPr="00961318">
              <w:rPr>
                <w:b/>
                <w:color w:val="002060"/>
              </w:rPr>
              <w:t>Program or initiative</w:t>
            </w:r>
          </w:p>
        </w:tc>
        <w:tc>
          <w:tcPr>
            <w:tcW w:w="5704" w:type="dxa"/>
            <w:tcBorders>
              <w:top w:val="single" w:sz="4" w:space="0" w:color="auto"/>
            </w:tcBorders>
            <w:shd w:val="clear" w:color="auto" w:fill="auto"/>
          </w:tcPr>
          <w:p w14:paraId="7E631FB9" w14:textId="77777777" w:rsidR="00D41241" w:rsidRPr="00961318" w:rsidRDefault="00D41241" w:rsidP="00B6013D">
            <w:pPr>
              <w:rPr>
                <w:b/>
                <w:color w:val="002060"/>
              </w:rPr>
            </w:pPr>
            <w:r>
              <w:rPr>
                <w:b/>
                <w:color w:val="002060"/>
              </w:rPr>
              <w:t xml:space="preserve">Details </w:t>
            </w:r>
          </w:p>
        </w:tc>
        <w:tc>
          <w:tcPr>
            <w:tcW w:w="3802" w:type="dxa"/>
            <w:shd w:val="clear" w:color="auto" w:fill="auto"/>
          </w:tcPr>
          <w:p w14:paraId="3BC4E867" w14:textId="77777777" w:rsidR="00D41241" w:rsidRPr="00961318" w:rsidRDefault="00D41241" w:rsidP="00B6013D">
            <w:pPr>
              <w:rPr>
                <w:b/>
                <w:color w:val="002060"/>
              </w:rPr>
            </w:pPr>
            <w:r w:rsidRPr="00961318">
              <w:rPr>
                <w:b/>
                <w:color w:val="002060"/>
              </w:rPr>
              <w:t>Key drivers</w:t>
            </w:r>
          </w:p>
        </w:tc>
        <w:tc>
          <w:tcPr>
            <w:tcW w:w="1744" w:type="dxa"/>
          </w:tcPr>
          <w:p w14:paraId="0C149C5A" w14:textId="77777777" w:rsidR="00D41241" w:rsidRPr="00961318" w:rsidRDefault="00D41241" w:rsidP="00B6013D">
            <w:pPr>
              <w:rPr>
                <w:b/>
                <w:color w:val="002060"/>
              </w:rPr>
            </w:pPr>
            <w:r>
              <w:rPr>
                <w:b/>
                <w:color w:val="002060"/>
              </w:rPr>
              <w:t>Evaluation?</w:t>
            </w:r>
          </w:p>
        </w:tc>
      </w:tr>
      <w:tr w:rsidR="00D41241" w14:paraId="4723EE8D" w14:textId="77777777" w:rsidTr="00BB6F4C">
        <w:tc>
          <w:tcPr>
            <w:tcW w:w="2925" w:type="dxa"/>
            <w:shd w:val="clear" w:color="auto" w:fill="auto"/>
          </w:tcPr>
          <w:p w14:paraId="6C2B8B83" w14:textId="77777777" w:rsidR="00D41241" w:rsidRPr="00961318" w:rsidRDefault="00D41241" w:rsidP="00B6013D">
            <w:pPr>
              <w:rPr>
                <w:i/>
                <w:color w:val="000000"/>
              </w:rPr>
            </w:pPr>
            <w:r w:rsidRPr="0091202C">
              <w:t>Early Years Places</w:t>
            </w:r>
          </w:p>
        </w:tc>
        <w:tc>
          <w:tcPr>
            <w:tcW w:w="5704" w:type="dxa"/>
            <w:shd w:val="clear" w:color="auto" w:fill="auto"/>
          </w:tcPr>
          <w:p w14:paraId="5D93FFE6" w14:textId="77777777" w:rsidR="00D41241" w:rsidRPr="00961318" w:rsidRDefault="00D41241" w:rsidP="00B6013D">
            <w:r w:rsidRPr="0091202C">
              <w:t>Early Years Places support families with children aged from birth to eight years old to access early childhood education and care, child and maternal health and family and parenting support services. Located in over 50 communities across Queensland</w:t>
            </w:r>
          </w:p>
        </w:tc>
        <w:tc>
          <w:tcPr>
            <w:tcW w:w="3802" w:type="dxa"/>
            <w:shd w:val="clear" w:color="auto" w:fill="auto"/>
          </w:tcPr>
          <w:p w14:paraId="11CCF632" w14:textId="77777777" w:rsidR="00D41241" w:rsidRPr="00961318" w:rsidRDefault="00D41241" w:rsidP="00B6013D">
            <w:r w:rsidRPr="0091202C">
              <w:t>To support pathways to preschool and promote the importance of early childhood education to parents and communities.</w:t>
            </w:r>
          </w:p>
        </w:tc>
        <w:tc>
          <w:tcPr>
            <w:tcW w:w="1744" w:type="dxa"/>
            <w:shd w:val="clear" w:color="auto" w:fill="auto"/>
          </w:tcPr>
          <w:p w14:paraId="7F0D9542" w14:textId="77777777" w:rsidR="00D41241" w:rsidRDefault="00D41241" w:rsidP="00B6013D">
            <w:r w:rsidRPr="0091202C">
              <w:t>Not located</w:t>
            </w:r>
          </w:p>
        </w:tc>
      </w:tr>
      <w:tr w:rsidR="00D41241" w14:paraId="218FA06C" w14:textId="77777777" w:rsidTr="00BB6F4C">
        <w:tc>
          <w:tcPr>
            <w:tcW w:w="2925" w:type="dxa"/>
            <w:shd w:val="clear" w:color="auto" w:fill="auto"/>
          </w:tcPr>
          <w:p w14:paraId="48836E84" w14:textId="77777777" w:rsidR="00D41241" w:rsidRPr="00961318" w:rsidRDefault="00D41241" w:rsidP="00B6013D">
            <w:pPr>
              <w:rPr>
                <w:i/>
                <w:color w:val="000000"/>
              </w:rPr>
            </w:pPr>
            <w:r w:rsidRPr="002776A8">
              <w:rPr>
                <w:i/>
                <w:color w:val="000000"/>
              </w:rPr>
              <w:t xml:space="preserve">Connect 4 Children </w:t>
            </w:r>
          </w:p>
        </w:tc>
        <w:tc>
          <w:tcPr>
            <w:tcW w:w="5704" w:type="dxa"/>
            <w:shd w:val="clear" w:color="auto" w:fill="auto"/>
          </w:tcPr>
          <w:p w14:paraId="753388E1" w14:textId="77777777" w:rsidR="00D41241" w:rsidRPr="002776A8" w:rsidRDefault="00D41241" w:rsidP="00B6013D">
            <w:pPr>
              <w:pStyle w:val="Text"/>
              <w:spacing w:after="120"/>
              <w:ind w:left="0" w:firstLine="0"/>
              <w:rPr>
                <w:rFonts w:ascii="Arial" w:eastAsia="Calibri" w:hAnsi="Arial" w:cs="Arial"/>
              </w:rPr>
            </w:pPr>
            <w:r w:rsidRPr="002776A8">
              <w:rPr>
                <w:rFonts w:ascii="Arial" w:eastAsia="Calibri" w:hAnsi="Arial" w:cs="Arial"/>
              </w:rPr>
              <w:t xml:space="preserve">Through the </w:t>
            </w:r>
            <w:r w:rsidRPr="002776A8">
              <w:rPr>
                <w:rFonts w:ascii="Arial" w:eastAsia="Calibri" w:hAnsi="Arial" w:cs="Arial"/>
                <w:i/>
              </w:rPr>
              <w:t>Connect 4 Children</w:t>
            </w:r>
            <w:r>
              <w:rPr>
                <w:rFonts w:ascii="Arial" w:eastAsia="Calibri" w:hAnsi="Arial" w:cs="Arial"/>
              </w:rPr>
              <w:t xml:space="preserve"> strategy, DoE will partner </w:t>
            </w:r>
            <w:r w:rsidRPr="002776A8">
              <w:rPr>
                <w:rFonts w:ascii="Arial" w:eastAsia="Calibri" w:hAnsi="Arial" w:cs="Arial"/>
              </w:rPr>
              <w:t>across community, government and industry in priority locations across Queensland to enact evidence-informed strategies that are reflected in Birth to five plans.</w:t>
            </w:r>
          </w:p>
          <w:p w14:paraId="71204A17" w14:textId="4BF7E28C" w:rsidR="00D41241" w:rsidRPr="002776A8" w:rsidRDefault="00D41241" w:rsidP="00B6013D">
            <w:pPr>
              <w:jc w:val="both"/>
              <w:rPr>
                <w:rFonts w:eastAsia="Calibri"/>
              </w:rPr>
            </w:pPr>
            <w:r w:rsidRPr="002776A8">
              <w:rPr>
                <w:rFonts w:eastAsia="Calibri"/>
              </w:rPr>
              <w:t>Child, family and community perspectives will guide decision-making about early years priorities and next steps in each locality including accessing targeting initiatives to improve the well-bein</w:t>
            </w:r>
            <w:r w:rsidR="00BB6F4C">
              <w:rPr>
                <w:rFonts w:eastAsia="Calibri"/>
              </w:rPr>
              <w:t>g of children in the community.</w:t>
            </w:r>
          </w:p>
          <w:p w14:paraId="7EC75215" w14:textId="77777777" w:rsidR="00D41241" w:rsidRPr="00961318" w:rsidRDefault="00D41241" w:rsidP="00B6013D">
            <w:r w:rsidRPr="002776A8">
              <w:rPr>
                <w:rFonts w:eastAsia="Calibri"/>
              </w:rPr>
              <w:t xml:space="preserve">It is anticipated many targeted approaches will support children and families to access kindergarten programs and support transitions from home to early childhood programs and onto school. </w:t>
            </w:r>
          </w:p>
        </w:tc>
        <w:tc>
          <w:tcPr>
            <w:tcW w:w="3802" w:type="dxa"/>
            <w:shd w:val="clear" w:color="auto" w:fill="auto"/>
          </w:tcPr>
          <w:p w14:paraId="3FA4E80A" w14:textId="77777777" w:rsidR="00D41241" w:rsidRDefault="00D41241" w:rsidP="00B6013D">
            <w:pPr>
              <w:jc w:val="both"/>
            </w:pPr>
            <w:r w:rsidRPr="002776A8">
              <w:t xml:space="preserve">Improve well-being in the year before school </w:t>
            </w:r>
          </w:p>
          <w:p w14:paraId="34669D94" w14:textId="77777777" w:rsidR="00D41241" w:rsidRDefault="00D41241" w:rsidP="00B6013D">
            <w:pPr>
              <w:jc w:val="both"/>
            </w:pPr>
          </w:p>
          <w:p w14:paraId="5FB7F75A" w14:textId="3911DE53" w:rsidR="00D41241" w:rsidRPr="00961318" w:rsidRDefault="00D41241" w:rsidP="00BB6F4C">
            <w:r w:rsidRPr="002776A8">
              <w:t xml:space="preserve">Support smooth transitions into kindy and onto schooling </w:t>
            </w:r>
            <w:r w:rsidRPr="002776A8">
              <w:tab/>
            </w:r>
          </w:p>
        </w:tc>
        <w:tc>
          <w:tcPr>
            <w:tcW w:w="1744" w:type="dxa"/>
            <w:shd w:val="clear" w:color="auto" w:fill="auto"/>
          </w:tcPr>
          <w:p w14:paraId="2F992791" w14:textId="77777777" w:rsidR="00D41241" w:rsidRDefault="00D41241" w:rsidP="00B6013D">
            <w:r w:rsidRPr="002776A8">
              <w:rPr>
                <w:rFonts w:cstheme="minorHAnsi"/>
              </w:rPr>
              <w:t xml:space="preserve">New program not yet evaluated </w:t>
            </w:r>
          </w:p>
        </w:tc>
      </w:tr>
      <w:tr w:rsidR="00D41241" w14:paraId="67687C09" w14:textId="77777777" w:rsidTr="00BB6F4C">
        <w:tc>
          <w:tcPr>
            <w:tcW w:w="2925" w:type="dxa"/>
            <w:shd w:val="clear" w:color="auto" w:fill="auto"/>
          </w:tcPr>
          <w:p w14:paraId="1E0A124C" w14:textId="77777777" w:rsidR="00D41241" w:rsidRPr="00961318" w:rsidRDefault="00D41241" w:rsidP="00B6013D">
            <w:pPr>
              <w:rPr>
                <w:i/>
                <w:color w:val="000000"/>
              </w:rPr>
            </w:pPr>
            <w:r>
              <w:rPr>
                <w:bCs/>
                <w:i/>
                <w:color w:val="000000"/>
              </w:rPr>
              <w:t>Pathways for Early Learning and Development (PELD)</w:t>
            </w:r>
          </w:p>
        </w:tc>
        <w:tc>
          <w:tcPr>
            <w:tcW w:w="5704" w:type="dxa"/>
            <w:shd w:val="clear" w:color="auto" w:fill="auto"/>
          </w:tcPr>
          <w:p w14:paraId="036CB6E5" w14:textId="77777777" w:rsidR="00D41241" w:rsidRPr="00961318" w:rsidRDefault="00D41241" w:rsidP="00B6013D">
            <w:r>
              <w:rPr>
                <w:shd w:val="clear" w:color="auto" w:fill="FDFDFD"/>
              </w:rPr>
              <w:t xml:space="preserve">A cross-disciplinary and multi-generational service model designed to improve the learning and development outcomes of </w:t>
            </w:r>
            <w:r w:rsidRPr="00141503">
              <w:rPr>
                <w:shd w:val="clear" w:color="auto" w:fill="FDFDFD"/>
              </w:rPr>
              <w:t>children</w:t>
            </w:r>
            <w:r>
              <w:rPr>
                <w:shd w:val="clear" w:color="auto" w:fill="FDFDFD"/>
              </w:rPr>
              <w:t>,</w:t>
            </w:r>
            <w:r w:rsidRPr="00141503">
              <w:rPr>
                <w:shd w:val="clear" w:color="auto" w:fill="FDFDFD"/>
              </w:rPr>
              <w:t xml:space="preserve"> aged birth to 5 years</w:t>
            </w:r>
            <w:r>
              <w:rPr>
                <w:shd w:val="clear" w:color="auto" w:fill="FDFDFD"/>
              </w:rPr>
              <w:t>, living in families</w:t>
            </w:r>
            <w:r w:rsidRPr="00141503">
              <w:rPr>
                <w:shd w:val="clear" w:color="auto" w:fill="FDFDFD"/>
              </w:rPr>
              <w:t xml:space="preserve"> who were experiencing </w:t>
            </w:r>
            <w:r>
              <w:rPr>
                <w:shd w:val="clear" w:color="auto" w:fill="FDFDFD"/>
              </w:rPr>
              <w:t xml:space="preserve">vulnerability due to </w:t>
            </w:r>
            <w:r w:rsidRPr="00141503">
              <w:rPr>
                <w:shd w:val="clear" w:color="auto" w:fill="FDFDFD"/>
              </w:rPr>
              <w:t>multiple and complex issues</w:t>
            </w:r>
            <w:r>
              <w:rPr>
                <w:shd w:val="clear" w:color="auto" w:fill="FDFDFD"/>
              </w:rPr>
              <w:t>.</w:t>
            </w:r>
          </w:p>
        </w:tc>
        <w:tc>
          <w:tcPr>
            <w:tcW w:w="3802" w:type="dxa"/>
            <w:shd w:val="clear" w:color="auto" w:fill="auto"/>
          </w:tcPr>
          <w:p w14:paraId="7CB11507" w14:textId="77777777" w:rsidR="00D41241" w:rsidRPr="00961318" w:rsidRDefault="00D41241" w:rsidP="00B6013D">
            <w:r w:rsidRPr="00141503">
              <w:rPr>
                <w:shd w:val="clear" w:color="auto" w:fill="FDFDFD"/>
              </w:rPr>
              <w:t>To support vulnerable children and families by embedding an early childhood learning and development focus within established family support services.</w:t>
            </w:r>
          </w:p>
        </w:tc>
        <w:tc>
          <w:tcPr>
            <w:tcW w:w="1744" w:type="dxa"/>
            <w:shd w:val="clear" w:color="auto" w:fill="auto"/>
          </w:tcPr>
          <w:p w14:paraId="3080A355" w14:textId="77777777" w:rsidR="00D41241" w:rsidRDefault="00D41241" w:rsidP="00B6013D">
            <w:r w:rsidRPr="00E4428C">
              <w:rPr>
                <w:rFonts w:eastAsia="MS Gothic"/>
              </w:rPr>
              <w:t xml:space="preserve">No </w:t>
            </w:r>
            <w:r>
              <w:t xml:space="preserve">Evaluation </w:t>
            </w:r>
          </w:p>
          <w:p w14:paraId="5206BC09" w14:textId="77777777" w:rsidR="00D41241" w:rsidRDefault="00D41241" w:rsidP="00B6013D"/>
        </w:tc>
      </w:tr>
      <w:tr w:rsidR="00D41241" w14:paraId="3F197AC3" w14:textId="77777777" w:rsidTr="00BB6F4C">
        <w:tc>
          <w:tcPr>
            <w:tcW w:w="2925" w:type="dxa"/>
            <w:shd w:val="clear" w:color="auto" w:fill="auto"/>
          </w:tcPr>
          <w:p w14:paraId="2E6B4C26" w14:textId="77777777" w:rsidR="00D41241" w:rsidRDefault="00D41241" w:rsidP="00B6013D">
            <w:pPr>
              <w:rPr>
                <w:bCs/>
                <w:i/>
                <w:color w:val="000000"/>
              </w:rPr>
            </w:pPr>
            <w:r w:rsidRPr="00D45D29">
              <w:rPr>
                <w:rFonts w:cs="Calibri"/>
                <w:i/>
              </w:rPr>
              <w:t>KindyLinQ</w:t>
            </w:r>
          </w:p>
        </w:tc>
        <w:tc>
          <w:tcPr>
            <w:tcW w:w="5704" w:type="dxa"/>
            <w:shd w:val="clear" w:color="auto" w:fill="auto"/>
          </w:tcPr>
          <w:p w14:paraId="65551057" w14:textId="77777777" w:rsidR="00D41241" w:rsidRDefault="00D41241" w:rsidP="00B6013D">
            <w:pPr>
              <w:rPr>
                <w:shd w:val="clear" w:color="auto" w:fill="FDFDFD"/>
              </w:rPr>
            </w:pPr>
            <w:r w:rsidRPr="00D45D29">
              <w:rPr>
                <w:rFonts w:cs="Calibri"/>
              </w:rPr>
              <w:t>Free 12 month pre-kindy learning program for three-year old children to be launched and trialled in 2020 through selected state schools</w:t>
            </w:r>
          </w:p>
        </w:tc>
        <w:tc>
          <w:tcPr>
            <w:tcW w:w="3802" w:type="dxa"/>
            <w:shd w:val="clear" w:color="auto" w:fill="auto"/>
          </w:tcPr>
          <w:p w14:paraId="0B60BED6" w14:textId="77777777" w:rsidR="00D41241" w:rsidRPr="00141503" w:rsidRDefault="00D41241" w:rsidP="00B6013D">
            <w:pPr>
              <w:rPr>
                <w:shd w:val="clear" w:color="auto" w:fill="FDFDFD"/>
              </w:rPr>
            </w:pPr>
            <w:r w:rsidRPr="00D45D29">
              <w:rPr>
                <w:rFonts w:cs="Calibri"/>
              </w:rPr>
              <w:t>Soft entry to Kindy to encourage active participation in play-based learning</w:t>
            </w:r>
          </w:p>
        </w:tc>
        <w:tc>
          <w:tcPr>
            <w:tcW w:w="1744" w:type="dxa"/>
            <w:shd w:val="clear" w:color="auto" w:fill="auto"/>
          </w:tcPr>
          <w:p w14:paraId="1985DA6E" w14:textId="77777777" w:rsidR="00D41241" w:rsidRDefault="00D41241" w:rsidP="00B6013D">
            <w:pPr>
              <w:rPr>
                <w:rFonts w:cstheme="minorHAnsi"/>
              </w:rPr>
            </w:pPr>
            <w:r>
              <w:rPr>
                <w:rFonts w:cstheme="minorHAnsi"/>
              </w:rPr>
              <w:t>New program to commence in 2020</w:t>
            </w:r>
          </w:p>
        </w:tc>
      </w:tr>
    </w:tbl>
    <w:p w14:paraId="4F876BA6" w14:textId="2643BD94" w:rsidR="00D41241" w:rsidRDefault="00D41241" w:rsidP="00D41241"/>
    <w:p w14:paraId="0FCCA19F" w14:textId="77777777" w:rsidR="00192655" w:rsidRDefault="00192655" w:rsidP="00D41241"/>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915"/>
        <w:gridCol w:w="5704"/>
        <w:gridCol w:w="3802"/>
        <w:gridCol w:w="1744"/>
      </w:tblGrid>
      <w:tr w:rsidR="00D41241" w:rsidRPr="002B22A8" w14:paraId="009D45DC" w14:textId="77777777" w:rsidTr="00BB6F4C">
        <w:tc>
          <w:tcPr>
            <w:tcW w:w="14175" w:type="dxa"/>
            <w:gridSpan w:val="5"/>
            <w:shd w:val="clear" w:color="auto" w:fill="BFBFBF" w:themeFill="background1" w:themeFillShade="BF"/>
          </w:tcPr>
          <w:p w14:paraId="19398CDC" w14:textId="77777777" w:rsidR="00D41241" w:rsidRPr="002B22A8" w:rsidRDefault="00D41241" w:rsidP="00B6013D">
            <w:pPr>
              <w:rPr>
                <w:rFonts w:eastAsia="Times New Roman"/>
                <w:color w:val="000000"/>
                <w:spacing w:val="2"/>
              </w:rPr>
            </w:pPr>
            <w:r>
              <w:rPr>
                <w:b/>
                <w:color w:val="002060"/>
              </w:rPr>
              <w:t>South Australia</w:t>
            </w:r>
          </w:p>
          <w:p w14:paraId="4FDD8752" w14:textId="77777777" w:rsidR="00D41241" w:rsidRPr="002B22A8" w:rsidRDefault="00D41241" w:rsidP="00B6013D">
            <w:pPr>
              <w:rPr>
                <w:rFonts w:eastAsia="Times New Roman"/>
                <w:color w:val="000000"/>
                <w:spacing w:val="2"/>
              </w:rPr>
            </w:pPr>
          </w:p>
        </w:tc>
      </w:tr>
      <w:tr w:rsidR="00D41241" w:rsidRPr="00961318" w14:paraId="3A986F56" w14:textId="77777777" w:rsidTr="00BB6F4C">
        <w:trPr>
          <w:tblHeader/>
        </w:trPr>
        <w:tc>
          <w:tcPr>
            <w:tcW w:w="2925" w:type="dxa"/>
            <w:gridSpan w:val="2"/>
            <w:tcBorders>
              <w:top w:val="single" w:sz="4" w:space="0" w:color="auto"/>
              <w:left w:val="single" w:sz="4" w:space="0" w:color="auto"/>
            </w:tcBorders>
            <w:shd w:val="clear" w:color="auto" w:fill="auto"/>
          </w:tcPr>
          <w:p w14:paraId="2C8DC012" w14:textId="77777777" w:rsidR="00D41241" w:rsidRPr="00961318" w:rsidRDefault="00D41241" w:rsidP="00B6013D">
            <w:pPr>
              <w:rPr>
                <w:b/>
                <w:color w:val="002060"/>
              </w:rPr>
            </w:pPr>
            <w:r w:rsidRPr="00961318">
              <w:rPr>
                <w:b/>
                <w:color w:val="002060"/>
              </w:rPr>
              <w:t>Program or initiative</w:t>
            </w:r>
          </w:p>
        </w:tc>
        <w:tc>
          <w:tcPr>
            <w:tcW w:w="5704" w:type="dxa"/>
            <w:tcBorders>
              <w:top w:val="single" w:sz="4" w:space="0" w:color="auto"/>
            </w:tcBorders>
            <w:shd w:val="clear" w:color="auto" w:fill="auto"/>
          </w:tcPr>
          <w:p w14:paraId="550E4064" w14:textId="77777777" w:rsidR="00D41241" w:rsidRPr="00961318" w:rsidRDefault="00D41241" w:rsidP="00B6013D">
            <w:pPr>
              <w:rPr>
                <w:b/>
                <w:color w:val="002060"/>
              </w:rPr>
            </w:pPr>
            <w:r>
              <w:rPr>
                <w:b/>
                <w:color w:val="002060"/>
              </w:rPr>
              <w:t xml:space="preserve">Details </w:t>
            </w:r>
          </w:p>
        </w:tc>
        <w:tc>
          <w:tcPr>
            <w:tcW w:w="3802" w:type="dxa"/>
            <w:shd w:val="clear" w:color="auto" w:fill="auto"/>
          </w:tcPr>
          <w:p w14:paraId="1EC9171B" w14:textId="77777777" w:rsidR="00D41241" w:rsidRPr="00961318" w:rsidRDefault="00D41241" w:rsidP="00B6013D">
            <w:pPr>
              <w:rPr>
                <w:b/>
                <w:color w:val="002060"/>
              </w:rPr>
            </w:pPr>
            <w:r w:rsidRPr="00961318">
              <w:rPr>
                <w:b/>
                <w:color w:val="002060"/>
              </w:rPr>
              <w:t>Key drivers</w:t>
            </w:r>
          </w:p>
        </w:tc>
        <w:tc>
          <w:tcPr>
            <w:tcW w:w="1744" w:type="dxa"/>
          </w:tcPr>
          <w:p w14:paraId="23882FA4" w14:textId="77777777" w:rsidR="00D41241" w:rsidRPr="00961318" w:rsidRDefault="00D41241" w:rsidP="00B6013D">
            <w:pPr>
              <w:rPr>
                <w:b/>
                <w:color w:val="002060"/>
              </w:rPr>
            </w:pPr>
            <w:r>
              <w:rPr>
                <w:b/>
                <w:color w:val="002060"/>
              </w:rPr>
              <w:t>Evaluation?</w:t>
            </w:r>
          </w:p>
        </w:tc>
      </w:tr>
      <w:tr w:rsidR="00D41241" w:rsidRPr="00B21E12" w14:paraId="2A2A5F7B" w14:textId="77777777" w:rsidTr="00BB6F4C">
        <w:trPr>
          <w:gridBefore w:val="1"/>
          <w:wBefore w:w="10" w:type="dxa"/>
        </w:trPr>
        <w:tc>
          <w:tcPr>
            <w:tcW w:w="2915" w:type="dxa"/>
            <w:shd w:val="clear" w:color="auto" w:fill="auto"/>
          </w:tcPr>
          <w:p w14:paraId="04F3F808" w14:textId="77777777" w:rsidR="00D41241" w:rsidRPr="00B21E12" w:rsidRDefault="00D41241" w:rsidP="00B6013D">
            <w:pPr>
              <w:rPr>
                <w:rFonts w:cs="Calibri"/>
                <w:i/>
              </w:rPr>
            </w:pPr>
            <w:r w:rsidRPr="00B21E12">
              <w:rPr>
                <w:i/>
                <w:color w:val="000000"/>
              </w:rPr>
              <w:t>Family Day Care</w:t>
            </w:r>
          </w:p>
        </w:tc>
        <w:tc>
          <w:tcPr>
            <w:tcW w:w="5704" w:type="dxa"/>
            <w:shd w:val="clear" w:color="auto" w:fill="auto"/>
          </w:tcPr>
          <w:p w14:paraId="1E7F10D1" w14:textId="77777777" w:rsidR="00D41241" w:rsidRPr="00141503" w:rsidRDefault="00D41241" w:rsidP="00B6013D">
            <w:pPr>
              <w:jc w:val="both"/>
              <w:rPr>
                <w:color w:val="000000"/>
                <w:spacing w:val="-3"/>
                <w:lang w:val="en"/>
              </w:rPr>
            </w:pPr>
            <w:r w:rsidRPr="00B21E12">
              <w:rPr>
                <w:color w:val="000000"/>
                <w:spacing w:val="-3"/>
                <w:lang w:val="en"/>
              </w:rPr>
              <w:t>Educators promote preschool in their local community and will often address multiple family/children barriers.</w:t>
            </w:r>
            <w:r>
              <w:rPr>
                <w:color w:val="000000"/>
                <w:spacing w:val="-3"/>
                <w:lang w:val="en"/>
              </w:rPr>
              <w:t xml:space="preserve"> </w:t>
            </w:r>
            <w:r w:rsidRPr="00B21E12">
              <w:rPr>
                <w:color w:val="000000"/>
                <w:spacing w:val="-3"/>
                <w:lang w:val="en"/>
              </w:rPr>
              <w:t>Educators also support communication between the preschool and child’s parent/carer, and work with support services and multiple agencies involved in the care of the child to ensure consistent preschool attendance.</w:t>
            </w:r>
          </w:p>
        </w:tc>
        <w:tc>
          <w:tcPr>
            <w:tcW w:w="3802" w:type="dxa"/>
            <w:shd w:val="clear" w:color="auto" w:fill="auto"/>
          </w:tcPr>
          <w:p w14:paraId="0BB4E776" w14:textId="77777777" w:rsidR="00D41241" w:rsidRPr="00B21E12" w:rsidRDefault="00D41241" w:rsidP="00B6013D">
            <w:pPr>
              <w:jc w:val="both"/>
              <w:rPr>
                <w:rFonts w:cs="Calibri"/>
              </w:rPr>
            </w:pPr>
            <w:r w:rsidRPr="00B21E12">
              <w:rPr>
                <w:color w:val="000000"/>
                <w:spacing w:val="-3"/>
                <w:lang w:val="en"/>
              </w:rPr>
              <w:t>Offers families affordable, personalised care by a qualified educator in a safe and nurturing home based environment</w:t>
            </w:r>
          </w:p>
        </w:tc>
        <w:tc>
          <w:tcPr>
            <w:tcW w:w="1744" w:type="dxa"/>
            <w:shd w:val="clear" w:color="auto" w:fill="auto"/>
          </w:tcPr>
          <w:p w14:paraId="362062EC" w14:textId="77777777" w:rsidR="00D41241" w:rsidRDefault="00D41241" w:rsidP="00B6013D">
            <w:r>
              <w:t xml:space="preserve">No Evaluation </w:t>
            </w:r>
          </w:p>
          <w:p w14:paraId="137FD566" w14:textId="77777777" w:rsidR="00D41241" w:rsidRPr="00B21E12" w:rsidRDefault="00D41241" w:rsidP="00B6013D">
            <w:pPr>
              <w:ind w:left="216"/>
              <w:rPr>
                <w:rFonts w:cs="Calibri"/>
              </w:rPr>
            </w:pPr>
          </w:p>
        </w:tc>
      </w:tr>
      <w:tr w:rsidR="00D41241" w14:paraId="27548D92" w14:textId="77777777" w:rsidTr="00BB6F4C">
        <w:trPr>
          <w:gridBefore w:val="1"/>
          <w:wBefore w:w="10" w:type="dxa"/>
        </w:trPr>
        <w:tc>
          <w:tcPr>
            <w:tcW w:w="2915" w:type="dxa"/>
            <w:tcBorders>
              <w:top w:val="single" w:sz="4" w:space="0" w:color="auto"/>
              <w:left w:val="single" w:sz="4" w:space="0" w:color="auto"/>
              <w:bottom w:val="single" w:sz="4" w:space="0" w:color="auto"/>
              <w:right w:val="single" w:sz="4" w:space="0" w:color="auto"/>
            </w:tcBorders>
            <w:shd w:val="clear" w:color="auto" w:fill="auto"/>
          </w:tcPr>
          <w:p w14:paraId="369DB8B7" w14:textId="77777777" w:rsidR="00D41241" w:rsidRPr="00873300" w:rsidRDefault="00D41241" w:rsidP="00B6013D">
            <w:pPr>
              <w:rPr>
                <w:i/>
              </w:rPr>
            </w:pPr>
            <w:r w:rsidRPr="00873300">
              <w:rPr>
                <w:i/>
              </w:rPr>
              <w:t xml:space="preserve">Guardianship Family Day Care (GFDC) </w:t>
            </w:r>
          </w:p>
          <w:p w14:paraId="5BC425D0" w14:textId="77777777" w:rsidR="00D41241" w:rsidRPr="00B21E12" w:rsidRDefault="00D41241" w:rsidP="00B6013D">
            <w:pPr>
              <w:rPr>
                <w:i/>
                <w:color w:val="000000"/>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0EEB7488" w14:textId="77777777" w:rsidR="00D41241" w:rsidRPr="00B21E12" w:rsidRDefault="00D41241" w:rsidP="00B6013D">
            <w:pPr>
              <w:jc w:val="both"/>
              <w:rPr>
                <w:color w:val="000000"/>
                <w:spacing w:val="-3"/>
                <w:lang w:val="en"/>
              </w:rPr>
            </w:pPr>
            <w:r w:rsidRPr="00873300">
              <w:rPr>
                <w:color w:val="000000"/>
              </w:rPr>
              <w:t xml:space="preserve">Supports children in temporary short-term care to have access to </w:t>
            </w:r>
            <w:r>
              <w:rPr>
                <w:color w:val="000000"/>
              </w:rPr>
              <w:t xml:space="preserve">quality early childhood education and care in a home environment (aligned to the Departments’ </w:t>
            </w:r>
            <w:r w:rsidRPr="00873300">
              <w:rPr>
                <w:color w:val="000000"/>
              </w:rPr>
              <w:t>Family Day Care</w:t>
            </w:r>
            <w:r>
              <w:rPr>
                <w:color w:val="000000"/>
              </w:rPr>
              <w:t xml:space="preserve"> model).</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79E24252" w14:textId="77777777" w:rsidR="00D41241" w:rsidRPr="00B21E12" w:rsidRDefault="00D41241" w:rsidP="00B6013D">
            <w:pPr>
              <w:jc w:val="both"/>
              <w:rPr>
                <w:color w:val="000000"/>
                <w:spacing w:val="-3"/>
                <w:lang w:val="en"/>
              </w:rPr>
            </w:pPr>
            <w:r>
              <w:t>To keep children in care out of a commercial care venue</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817377A" w14:textId="77777777" w:rsidR="00D41241" w:rsidRDefault="00D41241" w:rsidP="00B6013D">
            <w:r>
              <w:t xml:space="preserve">No Evaluation </w:t>
            </w:r>
          </w:p>
          <w:p w14:paraId="2DB82E8B" w14:textId="77777777" w:rsidR="00D41241" w:rsidRDefault="00D41241" w:rsidP="00B6013D">
            <w:pPr>
              <w:rPr>
                <w:rFonts w:ascii="MS Gothic" w:eastAsia="MS Gothic" w:hAnsi="MS Gothic" w:cstheme="minorHAnsi"/>
              </w:rPr>
            </w:pPr>
          </w:p>
          <w:p w14:paraId="0DDE61A4" w14:textId="77777777" w:rsidR="00D41241" w:rsidRDefault="00D41241" w:rsidP="00B6013D">
            <w:pPr>
              <w:rPr>
                <w:rFonts w:cstheme="minorHAnsi"/>
              </w:rPr>
            </w:pPr>
          </w:p>
        </w:tc>
      </w:tr>
      <w:tr w:rsidR="00D41241" w:rsidRPr="00B21E12" w14:paraId="2A661DCA" w14:textId="77777777" w:rsidTr="00BB6F4C">
        <w:trPr>
          <w:gridBefore w:val="1"/>
          <w:wBefore w:w="10" w:type="dxa"/>
        </w:trPr>
        <w:tc>
          <w:tcPr>
            <w:tcW w:w="2915" w:type="dxa"/>
            <w:shd w:val="clear" w:color="auto" w:fill="auto"/>
          </w:tcPr>
          <w:p w14:paraId="71C7EE55" w14:textId="77777777" w:rsidR="00D41241" w:rsidRPr="00B21E12" w:rsidRDefault="00D41241" w:rsidP="00B6013D">
            <w:pPr>
              <w:spacing w:line="276" w:lineRule="auto"/>
              <w:rPr>
                <w:i/>
                <w:color w:val="000000"/>
              </w:rPr>
            </w:pPr>
            <w:r w:rsidRPr="00B21E12">
              <w:rPr>
                <w:i/>
                <w:color w:val="000000"/>
              </w:rPr>
              <w:t xml:space="preserve">Children and Family Centres (CFCs) </w:t>
            </w:r>
          </w:p>
          <w:p w14:paraId="1E0F19FC" w14:textId="77777777" w:rsidR="00D41241" w:rsidRPr="00B21E12" w:rsidRDefault="00D41241" w:rsidP="00B6013D">
            <w:pPr>
              <w:rPr>
                <w:rFonts w:cs="Calibri"/>
                <w:i/>
              </w:rPr>
            </w:pPr>
          </w:p>
        </w:tc>
        <w:tc>
          <w:tcPr>
            <w:tcW w:w="5704" w:type="dxa"/>
            <w:shd w:val="clear" w:color="auto" w:fill="auto"/>
          </w:tcPr>
          <w:p w14:paraId="446489A0" w14:textId="77777777" w:rsidR="00D41241" w:rsidRPr="00F336B8" w:rsidRDefault="00D41241" w:rsidP="00B6013D">
            <w:pPr>
              <w:contextualSpacing/>
              <w:jc w:val="both"/>
              <w:rPr>
                <w:color w:val="000000"/>
              </w:rPr>
            </w:pPr>
            <w:r w:rsidRPr="00E6312B">
              <w:rPr>
                <w:color w:val="000000"/>
              </w:rPr>
              <w:t xml:space="preserve">Four children and family centres have been established in </w:t>
            </w:r>
            <w:r>
              <w:rPr>
                <w:color w:val="000000"/>
              </w:rPr>
              <w:t>SA</w:t>
            </w:r>
            <w:r w:rsidRPr="00E6312B">
              <w:rPr>
                <w:color w:val="000000"/>
              </w:rPr>
              <w:t xml:space="preserve"> providing early childhood programs and services for Aboriginal children from the antenatal phase to eight</w:t>
            </w:r>
            <w:r>
              <w:rPr>
                <w:color w:val="000000"/>
              </w:rPr>
              <w:t xml:space="preserve"> years of age</w:t>
            </w:r>
            <w:r w:rsidRPr="00E6312B">
              <w:rPr>
                <w:color w:val="000000"/>
              </w:rPr>
              <w:t>, and their families.</w:t>
            </w:r>
            <w:r>
              <w:rPr>
                <w:color w:val="000000"/>
              </w:rPr>
              <w:t xml:space="preserve"> </w:t>
            </w:r>
            <w:r w:rsidRPr="00E6312B">
              <w:rPr>
                <w:color w:val="000000"/>
              </w:rPr>
              <w:t>Children and family centres have a strong focus on supporting Aboriginal families with young children and reflect a philosophy of acknowledgement, engagement and inclusion of Aboriginal history, culture and community. Open to all members of the community, services include preschool, occasional care, Learning Together</w:t>
            </w:r>
            <w:r>
              <w:rPr>
                <w:color w:val="000000"/>
              </w:rPr>
              <w:t xml:space="preserve"> </w:t>
            </w:r>
            <w:r w:rsidRPr="00E6312B">
              <w:rPr>
                <w:color w:val="000000"/>
              </w:rPr>
              <w:t>programs, playgroups and a range of parenting and health programs</w:t>
            </w:r>
          </w:p>
        </w:tc>
        <w:tc>
          <w:tcPr>
            <w:tcW w:w="3802" w:type="dxa"/>
            <w:shd w:val="clear" w:color="auto" w:fill="auto"/>
          </w:tcPr>
          <w:p w14:paraId="600097FD" w14:textId="77777777" w:rsidR="00D41241" w:rsidRPr="00141503" w:rsidRDefault="00D41241" w:rsidP="00B6013D">
            <w:pPr>
              <w:contextualSpacing/>
              <w:jc w:val="both"/>
              <w:rPr>
                <w:color w:val="000000"/>
              </w:rPr>
            </w:pPr>
            <w:r w:rsidRPr="00B21E12">
              <w:rPr>
                <w:color w:val="000000"/>
              </w:rPr>
              <w:t>Early Years teams work together to ensure culturally responsive programs that support engagement, interactions and qu</w:t>
            </w:r>
            <w:r>
              <w:rPr>
                <w:color w:val="000000"/>
              </w:rPr>
              <w:t>ality early childhood education.</w:t>
            </w:r>
          </w:p>
        </w:tc>
        <w:tc>
          <w:tcPr>
            <w:tcW w:w="1744" w:type="dxa"/>
            <w:shd w:val="clear" w:color="auto" w:fill="auto"/>
          </w:tcPr>
          <w:p w14:paraId="11D3AF16" w14:textId="77777777" w:rsidR="00D41241" w:rsidRDefault="00D41241" w:rsidP="00B6013D">
            <w:r>
              <w:t xml:space="preserve">No Evaluation </w:t>
            </w:r>
          </w:p>
          <w:p w14:paraId="00F0A13C" w14:textId="77777777" w:rsidR="00D41241" w:rsidRPr="00B21E12" w:rsidRDefault="00D41241" w:rsidP="00B6013D">
            <w:pPr>
              <w:ind w:left="216"/>
              <w:rPr>
                <w:rFonts w:cs="Calibri"/>
              </w:rPr>
            </w:pPr>
          </w:p>
        </w:tc>
      </w:tr>
      <w:tr w:rsidR="00D41241" w:rsidRPr="00B21E12" w14:paraId="1D70A645" w14:textId="77777777" w:rsidTr="00BB6F4C">
        <w:trPr>
          <w:gridBefore w:val="1"/>
          <w:wBefore w:w="10" w:type="dxa"/>
        </w:trPr>
        <w:tc>
          <w:tcPr>
            <w:tcW w:w="2915" w:type="dxa"/>
            <w:shd w:val="clear" w:color="auto" w:fill="auto"/>
          </w:tcPr>
          <w:p w14:paraId="2A91A18E" w14:textId="77777777" w:rsidR="00D41241" w:rsidRPr="00B21E12" w:rsidRDefault="00D41241" w:rsidP="00B6013D">
            <w:pPr>
              <w:rPr>
                <w:rFonts w:cs="Calibri"/>
                <w:i/>
              </w:rPr>
            </w:pPr>
            <w:r w:rsidRPr="00B21E12">
              <w:rPr>
                <w:rFonts w:cs="Calibri"/>
                <w:i/>
              </w:rPr>
              <w:t>Families as First Teachers</w:t>
            </w:r>
          </w:p>
        </w:tc>
        <w:tc>
          <w:tcPr>
            <w:tcW w:w="5704" w:type="dxa"/>
            <w:shd w:val="clear" w:color="auto" w:fill="auto"/>
          </w:tcPr>
          <w:p w14:paraId="2FEF9B64" w14:textId="77777777" w:rsidR="00D41241" w:rsidRPr="00B21E12" w:rsidRDefault="00D41241" w:rsidP="00B6013D">
            <w:pPr>
              <w:jc w:val="both"/>
              <w:rPr>
                <w:rFonts w:cs="Calibri"/>
              </w:rPr>
            </w:pPr>
            <w:r w:rsidRPr="00B21E12">
              <w:rPr>
                <w:rFonts w:cs="Calibri"/>
              </w:rPr>
              <w:t>Supported playgroups held in the APY Lands. A</w:t>
            </w:r>
            <w:r w:rsidRPr="00B21E12">
              <w:rPr>
                <w:rFonts w:cs="Calibri"/>
                <w:u w:val="single"/>
              </w:rPr>
              <w:t>n</w:t>
            </w:r>
            <w:r w:rsidRPr="00B21E12">
              <w:rPr>
                <w:rFonts w:cs="Calibri"/>
              </w:rPr>
              <w:t>angu Educators support cultural inclusiveness and provide staff who speak Pitjantjatjara.</w:t>
            </w:r>
          </w:p>
        </w:tc>
        <w:tc>
          <w:tcPr>
            <w:tcW w:w="3802" w:type="dxa"/>
            <w:shd w:val="clear" w:color="auto" w:fill="auto"/>
          </w:tcPr>
          <w:p w14:paraId="16292283" w14:textId="77777777" w:rsidR="00D41241" w:rsidRPr="00B21E12" w:rsidRDefault="00D41241" w:rsidP="00B6013D">
            <w:pPr>
              <w:jc w:val="both"/>
              <w:rPr>
                <w:rFonts w:cs="Calibri"/>
              </w:rPr>
            </w:pPr>
            <w:r>
              <w:rPr>
                <w:rFonts w:cs="Calibri"/>
              </w:rPr>
              <w:t>E</w:t>
            </w:r>
            <w:r w:rsidRPr="00B21E12">
              <w:rPr>
                <w:rFonts w:cs="Calibri"/>
              </w:rPr>
              <w:t>ncourage</w:t>
            </w:r>
            <w:r>
              <w:rPr>
                <w:rFonts w:cs="Calibri"/>
              </w:rPr>
              <w:t>s</w:t>
            </w:r>
            <w:r w:rsidRPr="00B21E12">
              <w:rPr>
                <w:rFonts w:cs="Calibri"/>
              </w:rPr>
              <w:t xml:space="preserve"> families in the APY Lands to engage in </w:t>
            </w:r>
            <w:r>
              <w:rPr>
                <w:rFonts w:cs="Calibri"/>
              </w:rPr>
              <w:t>e</w:t>
            </w:r>
            <w:r w:rsidRPr="00B21E12">
              <w:rPr>
                <w:rFonts w:cs="Calibri"/>
              </w:rPr>
              <w:t xml:space="preserve">arly </w:t>
            </w:r>
            <w:r>
              <w:rPr>
                <w:rFonts w:cs="Calibri"/>
              </w:rPr>
              <w:t>c</w:t>
            </w:r>
            <w:r w:rsidRPr="00B21E12">
              <w:rPr>
                <w:rFonts w:cs="Calibri"/>
              </w:rPr>
              <w:t xml:space="preserve">hildhood </w:t>
            </w:r>
            <w:r>
              <w:rPr>
                <w:rFonts w:cs="Calibri"/>
              </w:rPr>
              <w:t>e</w:t>
            </w:r>
            <w:r w:rsidRPr="00B21E12">
              <w:rPr>
                <w:rFonts w:cs="Calibri"/>
              </w:rPr>
              <w:t>ducation</w:t>
            </w:r>
            <w:r>
              <w:rPr>
                <w:rFonts w:cs="Calibri"/>
              </w:rPr>
              <w:t>.</w:t>
            </w:r>
            <w:r w:rsidRPr="00B21E12">
              <w:rPr>
                <w:rFonts w:cs="Calibri"/>
              </w:rPr>
              <w:t xml:space="preserve"> Local data indicates that families who attend playgroups and the Children and Family Centres</w:t>
            </w:r>
            <w:r>
              <w:rPr>
                <w:rFonts w:cs="Calibri"/>
              </w:rPr>
              <w:t xml:space="preserve"> are likely to attend preschool.</w:t>
            </w:r>
          </w:p>
        </w:tc>
        <w:tc>
          <w:tcPr>
            <w:tcW w:w="1744" w:type="dxa"/>
            <w:shd w:val="clear" w:color="auto" w:fill="auto"/>
          </w:tcPr>
          <w:p w14:paraId="431DA8E2" w14:textId="77777777" w:rsidR="00D41241" w:rsidRDefault="00D41241" w:rsidP="00B6013D">
            <w:r>
              <w:t xml:space="preserve">No Evaluation </w:t>
            </w:r>
          </w:p>
          <w:p w14:paraId="63E4CB84" w14:textId="77777777" w:rsidR="00D41241" w:rsidRDefault="00D41241" w:rsidP="00B6013D">
            <w:pPr>
              <w:ind w:left="216"/>
            </w:pPr>
          </w:p>
          <w:p w14:paraId="5B606E34" w14:textId="77777777" w:rsidR="00D41241" w:rsidRPr="00B21E12" w:rsidRDefault="00D41241" w:rsidP="00B6013D">
            <w:pPr>
              <w:rPr>
                <w:rFonts w:cs="Calibri"/>
              </w:rPr>
            </w:pPr>
          </w:p>
        </w:tc>
      </w:tr>
      <w:tr w:rsidR="00D41241" w:rsidRPr="00B21E12" w14:paraId="502D8122" w14:textId="77777777" w:rsidTr="00BB6F4C">
        <w:trPr>
          <w:gridBefore w:val="1"/>
          <w:wBefore w:w="10" w:type="dxa"/>
        </w:trPr>
        <w:tc>
          <w:tcPr>
            <w:tcW w:w="2915" w:type="dxa"/>
            <w:shd w:val="clear" w:color="auto" w:fill="auto"/>
          </w:tcPr>
          <w:p w14:paraId="05A775B1" w14:textId="77777777" w:rsidR="00D41241" w:rsidRPr="00B21E12" w:rsidRDefault="00D41241" w:rsidP="00B6013D">
            <w:pPr>
              <w:rPr>
                <w:rFonts w:cs="Calibri"/>
                <w:i/>
              </w:rPr>
            </w:pPr>
            <w:r w:rsidRPr="00B21E12">
              <w:rPr>
                <w:rFonts w:cs="Calibri"/>
                <w:i/>
              </w:rPr>
              <w:t>Learning Together and Learning Together at Home</w:t>
            </w:r>
          </w:p>
        </w:tc>
        <w:tc>
          <w:tcPr>
            <w:tcW w:w="5704" w:type="dxa"/>
            <w:shd w:val="clear" w:color="auto" w:fill="auto"/>
          </w:tcPr>
          <w:p w14:paraId="74AF3BC0" w14:textId="77777777" w:rsidR="00D41241" w:rsidRDefault="00D41241" w:rsidP="00B6013D">
            <w:pPr>
              <w:jc w:val="both"/>
              <w:rPr>
                <w:rFonts w:cs="Calibri"/>
              </w:rPr>
            </w:pPr>
            <w:r w:rsidRPr="00E6312B">
              <w:rPr>
                <w:rFonts w:cs="Calibri"/>
              </w:rPr>
              <w:t>The Learning Together program helps families with children from birth to 4 years of age become more involved in their children's learning. Some locations offer specific activities for younger mothers and Aboriginal families.</w:t>
            </w:r>
            <w:r>
              <w:rPr>
                <w:rFonts w:cs="Calibri"/>
              </w:rPr>
              <w:t xml:space="preserve"> Learning Together at Home is a home visiting program which supports families and guides parents in helping their children learn and develop through play. </w:t>
            </w:r>
          </w:p>
          <w:p w14:paraId="795F4505" w14:textId="77777777" w:rsidR="00963D6C" w:rsidRDefault="00963D6C" w:rsidP="00B6013D">
            <w:pPr>
              <w:jc w:val="both"/>
              <w:rPr>
                <w:rFonts w:cs="Calibri"/>
              </w:rPr>
            </w:pPr>
          </w:p>
          <w:p w14:paraId="045ACBDD" w14:textId="230C7BE8" w:rsidR="00963D6C" w:rsidRPr="00B21E12" w:rsidRDefault="00963D6C" w:rsidP="00B6013D">
            <w:pPr>
              <w:jc w:val="both"/>
              <w:rPr>
                <w:rFonts w:cs="Calibri"/>
              </w:rPr>
            </w:pPr>
            <w:r>
              <w:rPr>
                <w:rFonts w:cs="Calibri"/>
              </w:rPr>
              <w:t>Evaluation shows attendance rates at co-learning spaces are high. Positive outcomes re child behaviour and child and parent confidence.</w:t>
            </w:r>
          </w:p>
        </w:tc>
        <w:tc>
          <w:tcPr>
            <w:tcW w:w="3802" w:type="dxa"/>
            <w:shd w:val="clear" w:color="auto" w:fill="auto"/>
          </w:tcPr>
          <w:p w14:paraId="2A4B987B" w14:textId="77777777" w:rsidR="00D41241" w:rsidRPr="00B21E12" w:rsidRDefault="00D41241" w:rsidP="00B6013D">
            <w:pPr>
              <w:jc w:val="both"/>
              <w:rPr>
                <w:rFonts w:cs="Calibri"/>
              </w:rPr>
            </w:pPr>
            <w:r>
              <w:rPr>
                <w:rFonts w:cs="Calibri"/>
              </w:rPr>
              <w:t>Children</w:t>
            </w:r>
            <w:r w:rsidRPr="00B21E12">
              <w:rPr>
                <w:rFonts w:cs="Calibri"/>
              </w:rPr>
              <w:t xml:space="preserve"> who engage in the program are more likely to </w:t>
            </w:r>
            <w:r>
              <w:rPr>
                <w:rFonts w:cs="Calibri"/>
              </w:rPr>
              <w:t xml:space="preserve">be </w:t>
            </w:r>
            <w:r w:rsidRPr="00B21E12">
              <w:rPr>
                <w:rFonts w:cs="Calibri"/>
              </w:rPr>
              <w:t>enrol</w:t>
            </w:r>
            <w:r>
              <w:rPr>
                <w:rFonts w:cs="Calibri"/>
              </w:rPr>
              <w:t>led</w:t>
            </w:r>
            <w:r w:rsidRPr="00B21E12">
              <w:rPr>
                <w:rFonts w:cs="Calibri"/>
              </w:rPr>
              <w:t xml:space="preserve"> in and attend</w:t>
            </w:r>
            <w:r>
              <w:rPr>
                <w:rFonts w:cs="Calibri"/>
              </w:rPr>
              <w:t>ing</w:t>
            </w:r>
            <w:r w:rsidRPr="00B21E12">
              <w:rPr>
                <w:rFonts w:cs="Calibri"/>
              </w:rPr>
              <w:t xml:space="preserve"> preschool</w:t>
            </w:r>
          </w:p>
        </w:tc>
        <w:tc>
          <w:tcPr>
            <w:tcW w:w="1744" w:type="dxa"/>
            <w:shd w:val="clear" w:color="auto" w:fill="auto"/>
          </w:tcPr>
          <w:p w14:paraId="31256D31" w14:textId="77777777" w:rsidR="00D41241" w:rsidRDefault="00D41241" w:rsidP="00B6013D">
            <w:r>
              <w:t>Evaluation Completed</w:t>
            </w:r>
          </w:p>
          <w:p w14:paraId="03DAC7B9" w14:textId="455FCBEA" w:rsidR="00D41241" w:rsidRDefault="00D41241" w:rsidP="00B6013D">
            <w:pPr>
              <w:rPr>
                <w:rFonts w:cs="Calibri"/>
              </w:rPr>
            </w:pPr>
            <w:r>
              <w:rPr>
                <w:rFonts w:cs="Calibri"/>
              </w:rPr>
              <w:t xml:space="preserve">University of Newcastle 2007 </w:t>
            </w:r>
            <w:r w:rsidRPr="00B21E12">
              <w:rPr>
                <w:rFonts w:cs="Calibri"/>
              </w:rPr>
              <w:t xml:space="preserve"> </w:t>
            </w:r>
          </w:p>
          <w:p w14:paraId="5180AB03" w14:textId="1758153B" w:rsidR="00D41241" w:rsidRPr="00963D6C" w:rsidRDefault="00D41241" w:rsidP="00963D6C">
            <w:pPr>
              <w:rPr>
                <w:sz w:val="16"/>
                <w:szCs w:val="16"/>
                <w:highlight w:val="yellow"/>
              </w:rPr>
            </w:pPr>
            <w:r w:rsidRPr="00963D6C">
              <w:rPr>
                <w:sz w:val="16"/>
                <w:szCs w:val="16"/>
              </w:rPr>
              <w:t>https://www.education.sa.gov.au/teaching/curriculum-and-teaching/curriculum-early-years/learning-together</w:t>
            </w:r>
          </w:p>
        </w:tc>
      </w:tr>
      <w:tr w:rsidR="00D41241" w:rsidRPr="00B21E12" w14:paraId="328A5E46" w14:textId="77777777" w:rsidTr="00BB6F4C">
        <w:trPr>
          <w:gridBefore w:val="1"/>
          <w:wBefore w:w="10" w:type="dxa"/>
        </w:trPr>
        <w:tc>
          <w:tcPr>
            <w:tcW w:w="2915" w:type="dxa"/>
            <w:shd w:val="clear" w:color="auto" w:fill="auto"/>
          </w:tcPr>
          <w:p w14:paraId="7CBFD688" w14:textId="77777777" w:rsidR="00D41241" w:rsidRPr="00B21E12" w:rsidRDefault="00D41241" w:rsidP="00B6013D">
            <w:pPr>
              <w:rPr>
                <w:i/>
                <w:color w:val="000000"/>
              </w:rPr>
            </w:pPr>
            <w:r w:rsidRPr="00B21E12">
              <w:rPr>
                <w:i/>
                <w:color w:val="000000"/>
              </w:rPr>
              <w:t>Aboriginal Family Literacy Strategy</w:t>
            </w:r>
          </w:p>
        </w:tc>
        <w:tc>
          <w:tcPr>
            <w:tcW w:w="5704" w:type="dxa"/>
            <w:shd w:val="clear" w:color="auto" w:fill="auto"/>
          </w:tcPr>
          <w:p w14:paraId="66960FCC" w14:textId="60DF0023" w:rsidR="00F82786" w:rsidRPr="00F336B8" w:rsidRDefault="00D41241" w:rsidP="00B6013D">
            <w:pPr>
              <w:jc w:val="both"/>
              <w:rPr>
                <w:color w:val="000000"/>
              </w:rPr>
            </w:pPr>
            <w:r w:rsidRPr="00B21E12">
              <w:rPr>
                <w:color w:val="000000"/>
              </w:rPr>
              <w:t xml:space="preserve">The program provides an additional teacher allocation to nominated preschools to support Aboriginal </w:t>
            </w:r>
            <w:r>
              <w:rPr>
                <w:color w:val="000000"/>
              </w:rPr>
              <w:t xml:space="preserve">3 year old </w:t>
            </w:r>
            <w:r w:rsidRPr="00B21E12">
              <w:rPr>
                <w:color w:val="000000"/>
              </w:rPr>
              <w:t>children and their families to be fully engaged in the preschool program with the aim of improving educational outcomes.</w:t>
            </w:r>
            <w:r>
              <w:rPr>
                <w:color w:val="000000"/>
              </w:rPr>
              <w:t xml:space="preserve"> An evaluation w</w:t>
            </w:r>
            <w:r w:rsidR="00E74E96">
              <w:rPr>
                <w:color w:val="000000"/>
              </w:rPr>
              <w:t>ill be completed in early 2020.</w:t>
            </w:r>
          </w:p>
        </w:tc>
        <w:tc>
          <w:tcPr>
            <w:tcW w:w="3802" w:type="dxa"/>
            <w:shd w:val="clear" w:color="auto" w:fill="auto"/>
          </w:tcPr>
          <w:p w14:paraId="25E8F0A2" w14:textId="77777777" w:rsidR="00D41241" w:rsidRPr="00B21E12" w:rsidRDefault="00D41241" w:rsidP="00B6013D">
            <w:pPr>
              <w:rPr>
                <w:rFonts w:cs="Calibri"/>
              </w:rPr>
            </w:pPr>
            <w:r w:rsidRPr="00B21E12">
              <w:rPr>
                <w:rFonts w:cs="Calibri"/>
              </w:rPr>
              <w:t>Improving educational outcomes</w:t>
            </w:r>
            <w:r>
              <w:rPr>
                <w:rFonts w:cs="Calibri"/>
              </w:rPr>
              <w:t xml:space="preserve"> (specifically literacy)</w:t>
            </w:r>
          </w:p>
        </w:tc>
        <w:tc>
          <w:tcPr>
            <w:tcW w:w="1744" w:type="dxa"/>
            <w:shd w:val="clear" w:color="auto" w:fill="auto"/>
          </w:tcPr>
          <w:p w14:paraId="7464436D" w14:textId="77777777" w:rsidR="00D41241" w:rsidRDefault="00D41241" w:rsidP="00B6013D">
            <w:r>
              <w:t xml:space="preserve">No Evaluation </w:t>
            </w:r>
          </w:p>
          <w:p w14:paraId="457B9EDD" w14:textId="77777777" w:rsidR="00D41241" w:rsidRPr="00B21E12" w:rsidRDefault="00D41241" w:rsidP="00B6013D">
            <w:pPr>
              <w:ind w:left="216"/>
              <w:rPr>
                <w:rFonts w:cs="Calibri"/>
              </w:rPr>
            </w:pPr>
          </w:p>
        </w:tc>
      </w:tr>
      <w:tr w:rsidR="00D41241" w:rsidRPr="00B21E12" w14:paraId="4CAF0307" w14:textId="77777777" w:rsidTr="00BB6F4C">
        <w:trPr>
          <w:gridBefore w:val="1"/>
          <w:wBefore w:w="10" w:type="dxa"/>
        </w:trPr>
        <w:tc>
          <w:tcPr>
            <w:tcW w:w="2915" w:type="dxa"/>
            <w:shd w:val="clear" w:color="auto" w:fill="auto"/>
          </w:tcPr>
          <w:p w14:paraId="014F830B" w14:textId="77777777" w:rsidR="00D41241" w:rsidRPr="00B21E12" w:rsidRDefault="00D41241" w:rsidP="00B6013D">
            <w:pPr>
              <w:rPr>
                <w:rFonts w:cs="Calibri"/>
                <w:i/>
              </w:rPr>
            </w:pPr>
            <w:r w:rsidRPr="00B21E12">
              <w:rPr>
                <w:rFonts w:cs="Calibri"/>
                <w:i/>
              </w:rPr>
              <w:t>Preschool age 3</w:t>
            </w:r>
          </w:p>
        </w:tc>
        <w:tc>
          <w:tcPr>
            <w:tcW w:w="5704" w:type="dxa"/>
            <w:shd w:val="clear" w:color="auto" w:fill="auto"/>
          </w:tcPr>
          <w:p w14:paraId="6262E7C7" w14:textId="77777777" w:rsidR="00D41241" w:rsidRPr="00FB7B06" w:rsidRDefault="00D41241" w:rsidP="00B6013D">
            <w:pPr>
              <w:jc w:val="both"/>
              <w:rPr>
                <w:color w:val="000000"/>
              </w:rPr>
            </w:pPr>
            <w:r w:rsidRPr="00B21E12">
              <w:rPr>
                <w:color w:val="000000"/>
              </w:rPr>
              <w:t>Aboriginal children and children who are or have been in care are entitled to 12 hours per week of government operated preschool services from the age of 3.</w:t>
            </w:r>
          </w:p>
        </w:tc>
        <w:tc>
          <w:tcPr>
            <w:tcW w:w="3802" w:type="dxa"/>
            <w:shd w:val="clear" w:color="auto" w:fill="auto"/>
          </w:tcPr>
          <w:p w14:paraId="0762B2A3" w14:textId="77777777" w:rsidR="00D41241" w:rsidRPr="00B21E12" w:rsidRDefault="00D41241" w:rsidP="00B6013D">
            <w:pPr>
              <w:rPr>
                <w:rFonts w:cs="Calibri"/>
              </w:rPr>
            </w:pPr>
            <w:r w:rsidRPr="00B21E12">
              <w:rPr>
                <w:rFonts w:cs="Calibri"/>
              </w:rPr>
              <w:t>Pathways to preschool</w:t>
            </w:r>
          </w:p>
        </w:tc>
        <w:tc>
          <w:tcPr>
            <w:tcW w:w="1744" w:type="dxa"/>
            <w:shd w:val="clear" w:color="auto" w:fill="auto"/>
          </w:tcPr>
          <w:p w14:paraId="706BC106" w14:textId="77777777" w:rsidR="00D41241" w:rsidRDefault="00D41241" w:rsidP="00B6013D">
            <w:r>
              <w:t xml:space="preserve">No Evaluation </w:t>
            </w:r>
          </w:p>
          <w:p w14:paraId="70D8EAA7" w14:textId="77777777" w:rsidR="00D41241" w:rsidRPr="00B21E12" w:rsidRDefault="00D41241" w:rsidP="00B6013D">
            <w:pPr>
              <w:ind w:left="216"/>
              <w:rPr>
                <w:rFonts w:cs="Calibri"/>
              </w:rPr>
            </w:pPr>
          </w:p>
        </w:tc>
      </w:tr>
      <w:tr w:rsidR="00D41241" w:rsidRPr="00B21E12" w14:paraId="6AD6C8D9" w14:textId="77777777" w:rsidTr="00BB6F4C">
        <w:trPr>
          <w:gridBefore w:val="1"/>
          <w:wBefore w:w="10" w:type="dxa"/>
        </w:trPr>
        <w:tc>
          <w:tcPr>
            <w:tcW w:w="2915" w:type="dxa"/>
            <w:shd w:val="clear" w:color="auto" w:fill="auto"/>
          </w:tcPr>
          <w:p w14:paraId="7113EED8" w14:textId="77777777" w:rsidR="00D41241" w:rsidRPr="00B21E12" w:rsidRDefault="00D41241" w:rsidP="00B6013D">
            <w:pPr>
              <w:rPr>
                <w:rFonts w:cs="Calibri"/>
                <w:i/>
              </w:rPr>
            </w:pPr>
            <w:r w:rsidRPr="00B21E12">
              <w:rPr>
                <w:i/>
                <w:color w:val="000000"/>
              </w:rPr>
              <w:t>Children’s Centres for Early Childhood Development and Parenting (Children’s Centres)</w:t>
            </w:r>
          </w:p>
        </w:tc>
        <w:tc>
          <w:tcPr>
            <w:tcW w:w="5704" w:type="dxa"/>
            <w:shd w:val="clear" w:color="auto" w:fill="auto"/>
          </w:tcPr>
          <w:p w14:paraId="24BEC35D" w14:textId="77777777" w:rsidR="00D41241" w:rsidRPr="00B21E12" w:rsidRDefault="00D41241" w:rsidP="00B6013D">
            <w:pPr>
              <w:jc w:val="both"/>
              <w:rPr>
                <w:rFonts w:cs="Calibri"/>
              </w:rPr>
            </w:pPr>
            <w:r w:rsidRPr="00B21E12">
              <w:rPr>
                <w:color w:val="000000"/>
              </w:rPr>
              <w:t>Bring together care, education, health, community development activities and family services for families and their young children. Programs delivered for 0-3 year olds support a natural transition to preschool on the same site.</w:t>
            </w:r>
          </w:p>
        </w:tc>
        <w:tc>
          <w:tcPr>
            <w:tcW w:w="3802" w:type="dxa"/>
            <w:shd w:val="clear" w:color="auto" w:fill="auto"/>
          </w:tcPr>
          <w:p w14:paraId="45599A08" w14:textId="77777777" w:rsidR="00D41241" w:rsidRPr="00B21E12" w:rsidRDefault="00D41241" w:rsidP="00B6013D">
            <w:pPr>
              <w:rPr>
                <w:rFonts w:cs="Calibri"/>
              </w:rPr>
            </w:pPr>
            <w:r w:rsidRPr="00B21E12">
              <w:rPr>
                <w:rFonts w:cs="Calibri"/>
              </w:rPr>
              <w:t>Pathways to preschool</w:t>
            </w:r>
          </w:p>
        </w:tc>
        <w:tc>
          <w:tcPr>
            <w:tcW w:w="1744" w:type="dxa"/>
            <w:shd w:val="clear" w:color="auto" w:fill="auto"/>
          </w:tcPr>
          <w:p w14:paraId="1976F72E" w14:textId="77777777" w:rsidR="00D41241" w:rsidRDefault="00D41241" w:rsidP="00B6013D">
            <w:r>
              <w:t>Evaluation Completed</w:t>
            </w:r>
          </w:p>
          <w:p w14:paraId="780ECCE1" w14:textId="77777777" w:rsidR="00D41241" w:rsidRPr="0008531B" w:rsidRDefault="00D41241" w:rsidP="00B6013D">
            <w:pPr>
              <w:rPr>
                <w:sz w:val="16"/>
                <w:szCs w:val="16"/>
              </w:rPr>
            </w:pPr>
            <w:r w:rsidRPr="0008531B">
              <w:rPr>
                <w:sz w:val="16"/>
                <w:szCs w:val="16"/>
              </w:rPr>
              <w:t>https://www.education.sa.gov.au/sites/default/files/sa-childrens-centre-evaluation.pdf?acsf_files_redirect</w:t>
            </w:r>
          </w:p>
        </w:tc>
      </w:tr>
      <w:tr w:rsidR="00D41241" w:rsidRPr="00B21E12" w14:paraId="763E8E32" w14:textId="77777777" w:rsidTr="00BB6F4C">
        <w:trPr>
          <w:gridBefore w:val="1"/>
          <w:wBefore w:w="10" w:type="dxa"/>
        </w:trPr>
        <w:tc>
          <w:tcPr>
            <w:tcW w:w="2915" w:type="dxa"/>
            <w:shd w:val="clear" w:color="auto" w:fill="auto"/>
          </w:tcPr>
          <w:p w14:paraId="4CE42970" w14:textId="77777777" w:rsidR="00D41241" w:rsidRPr="00B21E12" w:rsidRDefault="00D41241" w:rsidP="00B6013D">
            <w:pPr>
              <w:rPr>
                <w:i/>
                <w:color w:val="000000"/>
              </w:rPr>
            </w:pPr>
            <w:r w:rsidRPr="00B21E12">
              <w:rPr>
                <w:i/>
                <w:color w:val="000000"/>
              </w:rPr>
              <w:t>Occasional Care</w:t>
            </w:r>
          </w:p>
        </w:tc>
        <w:tc>
          <w:tcPr>
            <w:tcW w:w="5704" w:type="dxa"/>
            <w:shd w:val="clear" w:color="auto" w:fill="auto"/>
          </w:tcPr>
          <w:p w14:paraId="68168A39" w14:textId="77777777" w:rsidR="00D41241" w:rsidRPr="00B21E12" w:rsidRDefault="00D41241" w:rsidP="00B6013D">
            <w:pPr>
              <w:jc w:val="both"/>
              <w:rPr>
                <w:color w:val="000000"/>
              </w:rPr>
            </w:pPr>
            <w:r w:rsidRPr="00B21E12">
              <w:rPr>
                <w:color w:val="000000"/>
              </w:rPr>
              <w:t>Provides care for children in communities where there are limited child care options. This program is located on preschool sites which facilitates transition to preschool for families.</w:t>
            </w:r>
          </w:p>
        </w:tc>
        <w:tc>
          <w:tcPr>
            <w:tcW w:w="3802" w:type="dxa"/>
            <w:shd w:val="clear" w:color="auto" w:fill="auto"/>
          </w:tcPr>
          <w:p w14:paraId="43C1930F" w14:textId="77777777" w:rsidR="00D41241" w:rsidRPr="00B21E12" w:rsidRDefault="00D41241" w:rsidP="00B6013D">
            <w:pPr>
              <w:rPr>
                <w:rFonts w:cs="Calibri"/>
              </w:rPr>
            </w:pPr>
            <w:r w:rsidRPr="00B21E12">
              <w:rPr>
                <w:color w:val="000000"/>
              </w:rPr>
              <w:t>Increasing access to preschool</w:t>
            </w:r>
          </w:p>
        </w:tc>
        <w:tc>
          <w:tcPr>
            <w:tcW w:w="1744" w:type="dxa"/>
            <w:shd w:val="clear" w:color="auto" w:fill="auto"/>
          </w:tcPr>
          <w:p w14:paraId="743384EE" w14:textId="77777777" w:rsidR="00D41241" w:rsidRDefault="00D41241" w:rsidP="00B6013D">
            <w:r>
              <w:t xml:space="preserve">No Evaluation </w:t>
            </w:r>
          </w:p>
          <w:p w14:paraId="777FA089" w14:textId="77777777" w:rsidR="00D41241" w:rsidRPr="00B21E12" w:rsidRDefault="00D41241" w:rsidP="00B6013D">
            <w:pPr>
              <w:ind w:left="216"/>
              <w:rPr>
                <w:rFonts w:cs="Calibri"/>
              </w:rPr>
            </w:pPr>
          </w:p>
        </w:tc>
      </w:tr>
      <w:tr w:rsidR="00D41241" w:rsidRPr="00B21E12" w14:paraId="187A787D" w14:textId="77777777" w:rsidTr="00BB6F4C">
        <w:trPr>
          <w:gridBefore w:val="1"/>
          <w:wBefore w:w="10" w:type="dxa"/>
        </w:trPr>
        <w:tc>
          <w:tcPr>
            <w:tcW w:w="2915" w:type="dxa"/>
            <w:shd w:val="clear" w:color="auto" w:fill="auto"/>
          </w:tcPr>
          <w:p w14:paraId="58E1F9B1" w14:textId="77777777" w:rsidR="00D41241" w:rsidRPr="00B21E12" w:rsidRDefault="00D41241" w:rsidP="00B6013D">
            <w:pPr>
              <w:rPr>
                <w:i/>
                <w:color w:val="000000"/>
              </w:rPr>
            </w:pPr>
            <w:r w:rsidRPr="00B21E12">
              <w:rPr>
                <w:i/>
                <w:color w:val="000000"/>
              </w:rPr>
              <w:t>Play Centre Program</w:t>
            </w:r>
          </w:p>
        </w:tc>
        <w:tc>
          <w:tcPr>
            <w:tcW w:w="5704" w:type="dxa"/>
            <w:shd w:val="clear" w:color="auto" w:fill="auto"/>
          </w:tcPr>
          <w:p w14:paraId="7034D9EF" w14:textId="77777777" w:rsidR="00D41241" w:rsidRPr="00B21E12" w:rsidRDefault="00D41241" w:rsidP="00B6013D">
            <w:pPr>
              <w:jc w:val="both"/>
              <w:rPr>
                <w:color w:val="000000"/>
              </w:rPr>
            </w:pPr>
            <w:r w:rsidRPr="00B21E12">
              <w:rPr>
                <w:color w:val="000000"/>
              </w:rPr>
              <w:t>In rural communities where there are insufficient eligible children to establish or maintain a preschool service, the department can provide support for a children’s service in that area through the establishment of a playcentre</w:t>
            </w:r>
            <w:r>
              <w:rPr>
                <w:color w:val="000000"/>
              </w:rPr>
              <w:t>.</w:t>
            </w:r>
          </w:p>
        </w:tc>
        <w:tc>
          <w:tcPr>
            <w:tcW w:w="3802" w:type="dxa"/>
            <w:shd w:val="clear" w:color="auto" w:fill="auto"/>
          </w:tcPr>
          <w:p w14:paraId="36998F79" w14:textId="77777777" w:rsidR="00D41241" w:rsidRPr="00B21E12" w:rsidRDefault="00D41241" w:rsidP="00B6013D">
            <w:pPr>
              <w:jc w:val="both"/>
              <w:rPr>
                <w:rFonts w:cs="Calibri"/>
              </w:rPr>
            </w:pPr>
            <w:r w:rsidRPr="00B21E12">
              <w:rPr>
                <w:rFonts w:cs="Calibri"/>
              </w:rPr>
              <w:t>Provision of an early learning an</w:t>
            </w:r>
            <w:r>
              <w:rPr>
                <w:rFonts w:cs="Calibri"/>
              </w:rPr>
              <w:t>d</w:t>
            </w:r>
            <w:r w:rsidRPr="00B21E12">
              <w:rPr>
                <w:rFonts w:cs="Calibri"/>
              </w:rPr>
              <w:t xml:space="preserve"> development service in </w:t>
            </w:r>
            <w:r>
              <w:rPr>
                <w:rFonts w:cs="Calibri"/>
              </w:rPr>
              <w:t xml:space="preserve">the </w:t>
            </w:r>
            <w:r w:rsidRPr="00B21E12">
              <w:rPr>
                <w:rFonts w:cs="Calibri"/>
              </w:rPr>
              <w:t>absence of a  preschool</w:t>
            </w:r>
          </w:p>
        </w:tc>
        <w:tc>
          <w:tcPr>
            <w:tcW w:w="1744" w:type="dxa"/>
            <w:shd w:val="clear" w:color="auto" w:fill="auto"/>
          </w:tcPr>
          <w:p w14:paraId="3C21F34B" w14:textId="77777777" w:rsidR="00D41241" w:rsidRDefault="00D41241" w:rsidP="00B6013D">
            <w:r>
              <w:t xml:space="preserve">No Evaluation </w:t>
            </w:r>
          </w:p>
          <w:p w14:paraId="7D7F5205" w14:textId="77777777" w:rsidR="00D41241" w:rsidRPr="00B21E12" w:rsidRDefault="00D41241" w:rsidP="00B6013D">
            <w:pPr>
              <w:ind w:left="216"/>
              <w:rPr>
                <w:rFonts w:cs="Calibri"/>
              </w:rPr>
            </w:pPr>
          </w:p>
        </w:tc>
      </w:tr>
    </w:tbl>
    <w:p w14:paraId="2D6D11D4" w14:textId="77777777" w:rsidR="00D41241" w:rsidRDefault="00D41241" w:rsidP="00D41241"/>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5704"/>
        <w:gridCol w:w="3802"/>
        <w:gridCol w:w="1744"/>
      </w:tblGrid>
      <w:tr w:rsidR="00D41241" w:rsidRPr="002B22A8" w14:paraId="194E73A4" w14:textId="77777777" w:rsidTr="00BB6F4C">
        <w:tc>
          <w:tcPr>
            <w:tcW w:w="14175" w:type="dxa"/>
            <w:gridSpan w:val="4"/>
            <w:shd w:val="clear" w:color="auto" w:fill="BFBFBF" w:themeFill="background1" w:themeFillShade="BF"/>
          </w:tcPr>
          <w:p w14:paraId="4C51B141" w14:textId="77777777" w:rsidR="00D41241" w:rsidRPr="002B22A8" w:rsidRDefault="00D41241" w:rsidP="00B6013D">
            <w:pPr>
              <w:rPr>
                <w:rFonts w:eastAsia="Times New Roman"/>
                <w:color w:val="000000"/>
                <w:spacing w:val="2"/>
              </w:rPr>
            </w:pPr>
            <w:r>
              <w:rPr>
                <w:b/>
                <w:color w:val="002060"/>
              </w:rPr>
              <w:t>Tasmania</w:t>
            </w:r>
          </w:p>
          <w:p w14:paraId="7509F023" w14:textId="77777777" w:rsidR="00D41241" w:rsidRPr="002B22A8" w:rsidRDefault="00D41241" w:rsidP="00B6013D">
            <w:pPr>
              <w:rPr>
                <w:rFonts w:eastAsia="Times New Roman"/>
                <w:color w:val="000000"/>
                <w:spacing w:val="2"/>
              </w:rPr>
            </w:pPr>
          </w:p>
        </w:tc>
      </w:tr>
      <w:tr w:rsidR="00D41241" w:rsidRPr="00961318" w14:paraId="2E203231" w14:textId="77777777" w:rsidTr="00BB6F4C">
        <w:trPr>
          <w:tblHeader/>
        </w:trPr>
        <w:tc>
          <w:tcPr>
            <w:tcW w:w="2925" w:type="dxa"/>
            <w:tcBorders>
              <w:top w:val="single" w:sz="4" w:space="0" w:color="auto"/>
              <w:left w:val="single" w:sz="4" w:space="0" w:color="auto"/>
            </w:tcBorders>
            <w:shd w:val="clear" w:color="auto" w:fill="auto"/>
          </w:tcPr>
          <w:p w14:paraId="71B7170B" w14:textId="77777777" w:rsidR="00D41241" w:rsidRPr="00961318" w:rsidRDefault="00D41241" w:rsidP="00B6013D">
            <w:pPr>
              <w:rPr>
                <w:b/>
                <w:color w:val="002060"/>
              </w:rPr>
            </w:pPr>
            <w:r w:rsidRPr="00961318">
              <w:rPr>
                <w:b/>
                <w:color w:val="002060"/>
              </w:rPr>
              <w:t>Program or initiative</w:t>
            </w:r>
          </w:p>
        </w:tc>
        <w:tc>
          <w:tcPr>
            <w:tcW w:w="5704" w:type="dxa"/>
            <w:tcBorders>
              <w:top w:val="single" w:sz="4" w:space="0" w:color="auto"/>
            </w:tcBorders>
            <w:shd w:val="clear" w:color="auto" w:fill="auto"/>
          </w:tcPr>
          <w:p w14:paraId="17FBF13E" w14:textId="77777777" w:rsidR="00D41241" w:rsidRPr="00961318" w:rsidRDefault="00D41241" w:rsidP="00B6013D">
            <w:pPr>
              <w:rPr>
                <w:b/>
                <w:color w:val="002060"/>
              </w:rPr>
            </w:pPr>
            <w:r>
              <w:rPr>
                <w:b/>
                <w:color w:val="002060"/>
              </w:rPr>
              <w:t xml:space="preserve">Details </w:t>
            </w:r>
          </w:p>
        </w:tc>
        <w:tc>
          <w:tcPr>
            <w:tcW w:w="3802" w:type="dxa"/>
            <w:shd w:val="clear" w:color="auto" w:fill="auto"/>
          </w:tcPr>
          <w:p w14:paraId="37628EE5" w14:textId="77777777" w:rsidR="00D41241" w:rsidRPr="00961318" w:rsidRDefault="00D41241" w:rsidP="00B6013D">
            <w:pPr>
              <w:rPr>
                <w:b/>
                <w:color w:val="002060"/>
              </w:rPr>
            </w:pPr>
            <w:r w:rsidRPr="00961318">
              <w:rPr>
                <w:b/>
                <w:color w:val="002060"/>
              </w:rPr>
              <w:t>Key drivers</w:t>
            </w:r>
          </w:p>
        </w:tc>
        <w:tc>
          <w:tcPr>
            <w:tcW w:w="1744" w:type="dxa"/>
          </w:tcPr>
          <w:p w14:paraId="5B10C9F2" w14:textId="77777777" w:rsidR="00D41241" w:rsidRPr="00961318" w:rsidRDefault="00D41241" w:rsidP="00B6013D">
            <w:pPr>
              <w:rPr>
                <w:b/>
                <w:color w:val="002060"/>
              </w:rPr>
            </w:pPr>
            <w:r>
              <w:rPr>
                <w:b/>
                <w:color w:val="002060"/>
              </w:rPr>
              <w:t>Evaluation?</w:t>
            </w:r>
          </w:p>
        </w:tc>
      </w:tr>
      <w:tr w:rsidR="00D41241" w:rsidRPr="001114EE" w14:paraId="2E2ADCEA" w14:textId="77777777" w:rsidTr="00BB6F4C">
        <w:tc>
          <w:tcPr>
            <w:tcW w:w="2925" w:type="dxa"/>
            <w:shd w:val="clear" w:color="auto" w:fill="auto"/>
          </w:tcPr>
          <w:p w14:paraId="24323D25" w14:textId="77777777" w:rsidR="00D41241" w:rsidRPr="001114EE" w:rsidRDefault="00D41241" w:rsidP="00B6013D">
            <w:pPr>
              <w:rPr>
                <w:color w:val="000000" w:themeColor="text1"/>
              </w:rPr>
            </w:pPr>
            <w:r w:rsidRPr="001114EE">
              <w:rPr>
                <w:color w:val="000000" w:themeColor="text1"/>
              </w:rPr>
              <w:t>Aboriginal Early Years Education Workers</w:t>
            </w:r>
          </w:p>
        </w:tc>
        <w:tc>
          <w:tcPr>
            <w:tcW w:w="5704" w:type="dxa"/>
            <w:shd w:val="clear" w:color="auto" w:fill="auto"/>
          </w:tcPr>
          <w:p w14:paraId="366088E3" w14:textId="77777777" w:rsidR="00D41241" w:rsidRDefault="00D41241" w:rsidP="00B6013D">
            <w:pPr>
              <w:rPr>
                <w:color w:val="000000" w:themeColor="text1"/>
              </w:rPr>
            </w:pPr>
            <w:r w:rsidRPr="001114EE">
              <w:rPr>
                <w:color w:val="000000" w:themeColor="text1"/>
              </w:rPr>
              <w:t xml:space="preserve">Aboriginal Early Years Education Workers </w:t>
            </w:r>
            <w:r>
              <w:rPr>
                <w:rFonts w:ascii="Helvetica" w:hAnsi="Helvetica" w:cs="Helvetica"/>
                <w:color w:val="000000"/>
                <w:shd w:val="clear" w:color="auto" w:fill="FFFFFF"/>
              </w:rPr>
              <w:t xml:space="preserve">are based in Child and Family Centres (CFCs) and </w:t>
            </w:r>
            <w:r w:rsidRPr="001114EE">
              <w:rPr>
                <w:color w:val="000000" w:themeColor="text1"/>
              </w:rPr>
              <w:t>work closely with families of Aboriginal children from birth to five years of age to engage in early years initiatives, including Launching into Learning, pre-Kinder and at Child and Family Centres</w:t>
            </w:r>
            <w:r>
              <w:rPr>
                <w:color w:val="000000" w:themeColor="text1"/>
              </w:rPr>
              <w:t>, which</w:t>
            </w:r>
            <w:r w:rsidRPr="001114EE">
              <w:rPr>
                <w:color w:val="000000" w:themeColor="text1"/>
              </w:rPr>
              <w:t xml:space="preserve"> enhance their children’s learning.</w:t>
            </w:r>
          </w:p>
          <w:p w14:paraId="30703B24" w14:textId="77777777" w:rsidR="00D41241" w:rsidRPr="001114EE" w:rsidRDefault="00BA469C" w:rsidP="00B6013D">
            <w:pPr>
              <w:rPr>
                <w:color w:val="000000" w:themeColor="text1"/>
              </w:rPr>
            </w:pPr>
            <w:hyperlink r:id="rId42" w:history="1">
              <w:r w:rsidR="00D41241">
                <w:rPr>
                  <w:rStyle w:val="Hyperlink"/>
                </w:rPr>
                <w:t>https://www.education.tas.gov.au/parents-carers/school-colleges/aboriginal-education-services/</w:t>
              </w:r>
            </w:hyperlink>
            <w:r w:rsidR="00D41241">
              <w:t xml:space="preserve"> </w:t>
            </w:r>
          </w:p>
        </w:tc>
        <w:tc>
          <w:tcPr>
            <w:tcW w:w="3802" w:type="dxa"/>
            <w:shd w:val="clear" w:color="auto" w:fill="auto"/>
          </w:tcPr>
          <w:p w14:paraId="5C99A347" w14:textId="77777777" w:rsidR="00D41241" w:rsidRPr="001114EE" w:rsidRDefault="00D41241" w:rsidP="00B6013D">
            <w:pPr>
              <w:rPr>
                <w:color w:val="000000" w:themeColor="text1"/>
              </w:rPr>
            </w:pPr>
            <w:r w:rsidRPr="001114EE">
              <w:rPr>
                <w:color w:val="000000" w:themeColor="text1"/>
              </w:rPr>
              <w:t>To support the active participation of Aboriginal families in early childhood education</w:t>
            </w:r>
          </w:p>
        </w:tc>
        <w:tc>
          <w:tcPr>
            <w:tcW w:w="1744" w:type="dxa"/>
            <w:shd w:val="clear" w:color="auto" w:fill="auto"/>
          </w:tcPr>
          <w:p w14:paraId="0D19B469" w14:textId="77777777" w:rsidR="00D41241" w:rsidRPr="001114EE" w:rsidRDefault="00D41241" w:rsidP="00B6013D">
            <w:pPr>
              <w:rPr>
                <w:rFonts w:ascii="MS Gothic" w:eastAsia="MS Gothic" w:hAnsi="MS Gothic" w:cstheme="minorHAnsi"/>
                <w:color w:val="000000" w:themeColor="text1"/>
              </w:rPr>
            </w:pPr>
            <w:r>
              <w:rPr>
                <w:color w:val="000000" w:themeColor="text1"/>
              </w:rPr>
              <w:t>Subject to system level review/evaluation processes</w:t>
            </w:r>
          </w:p>
        </w:tc>
      </w:tr>
      <w:tr w:rsidR="00D41241" w:rsidRPr="001114EE" w14:paraId="41D2BCBE" w14:textId="77777777" w:rsidTr="00BB6F4C">
        <w:tc>
          <w:tcPr>
            <w:tcW w:w="2925" w:type="dxa"/>
            <w:shd w:val="clear" w:color="auto" w:fill="auto"/>
          </w:tcPr>
          <w:p w14:paraId="3D69BC66" w14:textId="77777777" w:rsidR="00D41241" w:rsidRPr="001114EE" w:rsidRDefault="00D41241" w:rsidP="00B6013D">
            <w:pPr>
              <w:rPr>
                <w:color w:val="000000" w:themeColor="text1"/>
              </w:rPr>
            </w:pPr>
            <w:r w:rsidRPr="001114EE">
              <w:rPr>
                <w:color w:val="000000" w:themeColor="text1"/>
              </w:rPr>
              <w:t>B4 Early Years Coalition</w:t>
            </w:r>
          </w:p>
        </w:tc>
        <w:tc>
          <w:tcPr>
            <w:tcW w:w="5704" w:type="dxa"/>
            <w:shd w:val="clear" w:color="auto" w:fill="auto"/>
          </w:tcPr>
          <w:p w14:paraId="1C6D6229" w14:textId="77777777" w:rsidR="00D41241" w:rsidRDefault="00D41241" w:rsidP="00B6013D">
            <w:pPr>
              <w:rPr>
                <w:color w:val="000000" w:themeColor="text1"/>
              </w:rPr>
            </w:pPr>
            <w:r w:rsidRPr="001114EE">
              <w:rPr>
                <w:color w:val="000000" w:themeColor="text1"/>
              </w:rPr>
              <w:t>The B4 Early Years Coalition connects people and organisations from across the Tasmanian community who are committed to supporting children, pregnancy to 4 years of age and their families.</w:t>
            </w:r>
          </w:p>
          <w:p w14:paraId="2B5B6EDA" w14:textId="77777777" w:rsidR="00D41241" w:rsidRDefault="00D41241" w:rsidP="00B6013D">
            <w:pPr>
              <w:rPr>
                <w:color w:val="000000" w:themeColor="text1"/>
              </w:rPr>
            </w:pPr>
          </w:p>
          <w:p w14:paraId="6DB85E42" w14:textId="77777777" w:rsidR="00D41241" w:rsidRDefault="00BA469C" w:rsidP="00B6013D">
            <w:hyperlink r:id="rId43" w:history="1">
              <w:r w:rsidR="00D41241">
                <w:rPr>
                  <w:rStyle w:val="Hyperlink"/>
                </w:rPr>
                <w:t>https://b4.education.tas.gov.au/</w:t>
              </w:r>
            </w:hyperlink>
            <w:r w:rsidR="00D41241">
              <w:t xml:space="preserve"> </w:t>
            </w:r>
          </w:p>
          <w:p w14:paraId="55050B9A" w14:textId="77777777" w:rsidR="00D41241" w:rsidRDefault="00D41241" w:rsidP="00B6013D"/>
          <w:p w14:paraId="3D9AF613" w14:textId="77777777" w:rsidR="00D41241" w:rsidRPr="001114EE" w:rsidRDefault="00BA469C" w:rsidP="00B6013D">
            <w:pPr>
              <w:rPr>
                <w:color w:val="000000" w:themeColor="text1"/>
              </w:rPr>
            </w:pPr>
            <w:hyperlink r:id="rId44" w:history="1">
              <w:r w:rsidR="00D41241">
                <w:rPr>
                  <w:rStyle w:val="Hyperlink"/>
                </w:rPr>
                <w:t>https://greatstart.tas.gov.au/</w:t>
              </w:r>
            </w:hyperlink>
          </w:p>
        </w:tc>
        <w:tc>
          <w:tcPr>
            <w:tcW w:w="3802" w:type="dxa"/>
            <w:shd w:val="clear" w:color="auto" w:fill="auto"/>
          </w:tcPr>
          <w:p w14:paraId="7CDF1CA7" w14:textId="77777777" w:rsidR="00D41241" w:rsidRPr="001114EE" w:rsidRDefault="00D41241" w:rsidP="00B6013D">
            <w:pPr>
              <w:rPr>
                <w:color w:val="000000" w:themeColor="text1"/>
              </w:rPr>
            </w:pPr>
            <w:r w:rsidRPr="001114EE">
              <w:rPr>
                <w:color w:val="000000" w:themeColor="text1"/>
              </w:rPr>
              <w:t xml:space="preserve">For everyone to value support and work together for the early years </w:t>
            </w:r>
          </w:p>
        </w:tc>
        <w:tc>
          <w:tcPr>
            <w:tcW w:w="1744" w:type="dxa"/>
            <w:shd w:val="clear" w:color="auto" w:fill="auto"/>
          </w:tcPr>
          <w:p w14:paraId="165B2623" w14:textId="77777777" w:rsidR="00D41241" w:rsidRPr="001114EE" w:rsidRDefault="00D41241" w:rsidP="00B6013D">
            <w:pPr>
              <w:rPr>
                <w:rFonts w:ascii="MS Gothic" w:eastAsia="MS Gothic" w:hAnsi="MS Gothic" w:cstheme="minorHAnsi"/>
                <w:color w:val="000000" w:themeColor="text1"/>
              </w:rPr>
            </w:pPr>
            <w:r>
              <w:rPr>
                <w:color w:val="000000" w:themeColor="text1"/>
              </w:rPr>
              <w:t>Subject to system level review/evaluation processes</w:t>
            </w:r>
          </w:p>
        </w:tc>
      </w:tr>
      <w:tr w:rsidR="00D41241" w:rsidRPr="001114EE" w14:paraId="527F86BB" w14:textId="77777777" w:rsidTr="00BB6F4C">
        <w:tc>
          <w:tcPr>
            <w:tcW w:w="2925" w:type="dxa"/>
            <w:shd w:val="clear" w:color="auto" w:fill="auto"/>
          </w:tcPr>
          <w:p w14:paraId="4C9FAF6C" w14:textId="77777777" w:rsidR="00D41241" w:rsidRPr="001114EE" w:rsidRDefault="00D41241" w:rsidP="00B6013D">
            <w:pPr>
              <w:rPr>
                <w:color w:val="000000" w:themeColor="text1"/>
              </w:rPr>
            </w:pPr>
            <w:r w:rsidRPr="001114EE">
              <w:rPr>
                <w:color w:val="000000" w:themeColor="text1"/>
              </w:rPr>
              <w:t>Learning in Families Together (LIFT)</w:t>
            </w:r>
          </w:p>
        </w:tc>
        <w:tc>
          <w:tcPr>
            <w:tcW w:w="5704" w:type="dxa"/>
            <w:shd w:val="clear" w:color="auto" w:fill="auto"/>
          </w:tcPr>
          <w:p w14:paraId="25199961" w14:textId="77777777" w:rsidR="00D41241" w:rsidRDefault="00D41241" w:rsidP="00B6013D">
            <w:pPr>
              <w:rPr>
                <w:color w:val="000000" w:themeColor="text1"/>
              </w:rPr>
            </w:pPr>
            <w:r w:rsidRPr="001114EE">
              <w:rPr>
                <w:color w:val="000000" w:themeColor="text1"/>
              </w:rPr>
              <w:t>An initiative that builds confidence and skills in parents and carers in order to support their children’s literacy and numeracy learning at home. It encourages collaboration between home, school and the community to help lift learning outcomes for students.</w:t>
            </w:r>
          </w:p>
          <w:p w14:paraId="621DDB3A" w14:textId="77777777" w:rsidR="00D41241" w:rsidRDefault="00BA469C" w:rsidP="00B6013D">
            <w:hyperlink r:id="rId45" w:history="1">
              <w:r w:rsidR="00D41241">
                <w:rPr>
                  <w:rStyle w:val="Hyperlink"/>
                </w:rPr>
                <w:t>https://www.education.tas.gov.au/parents-carers/parent-fact-sheets/learning-families-together-lift/</w:t>
              </w:r>
            </w:hyperlink>
            <w:r w:rsidR="00D41241">
              <w:t xml:space="preserve"> </w:t>
            </w:r>
          </w:p>
          <w:p w14:paraId="2E703ABB" w14:textId="77777777" w:rsidR="00D41241" w:rsidRDefault="00BA469C" w:rsidP="00B6013D">
            <w:hyperlink r:id="rId46" w:history="1">
              <w:r w:rsidR="00D41241">
                <w:rPr>
                  <w:rStyle w:val="Hyperlink"/>
                </w:rPr>
                <w:t>https://www.education.tas.gov.au/2019/10/learning-in-families-together-lift-re-launch/</w:t>
              </w:r>
            </w:hyperlink>
            <w:r w:rsidR="00D41241">
              <w:t xml:space="preserve"> </w:t>
            </w:r>
          </w:p>
          <w:p w14:paraId="2289D8AC" w14:textId="77777777" w:rsidR="00D41241" w:rsidRDefault="00D41241" w:rsidP="00B6013D">
            <w:pPr>
              <w:rPr>
                <w:color w:val="000000" w:themeColor="text1"/>
              </w:rPr>
            </w:pPr>
          </w:p>
          <w:p w14:paraId="1D4A15EE" w14:textId="77777777" w:rsidR="00D41241" w:rsidRPr="001114EE" w:rsidRDefault="00BA469C" w:rsidP="00B6013D">
            <w:pPr>
              <w:rPr>
                <w:color w:val="000000" w:themeColor="text1"/>
              </w:rPr>
            </w:pPr>
            <w:hyperlink r:id="rId47" w:history="1">
              <w:r w:rsidR="00D41241">
                <w:rPr>
                  <w:rStyle w:val="Hyperlink"/>
                </w:rPr>
                <w:t>https://greatstart.tas.gov.au/</w:t>
              </w:r>
            </w:hyperlink>
          </w:p>
        </w:tc>
        <w:tc>
          <w:tcPr>
            <w:tcW w:w="3802" w:type="dxa"/>
            <w:shd w:val="clear" w:color="auto" w:fill="auto"/>
          </w:tcPr>
          <w:p w14:paraId="3E37FDF7" w14:textId="77777777" w:rsidR="00D41241" w:rsidRPr="001114EE" w:rsidRDefault="00D41241" w:rsidP="00B6013D">
            <w:pPr>
              <w:rPr>
                <w:color w:val="000000" w:themeColor="text1"/>
              </w:rPr>
            </w:pPr>
            <w:r w:rsidRPr="001114EE">
              <w:rPr>
                <w:color w:val="000000" w:themeColor="text1"/>
              </w:rPr>
              <w:t>Engaging parents and carers in their children’s learning at home</w:t>
            </w:r>
          </w:p>
        </w:tc>
        <w:tc>
          <w:tcPr>
            <w:tcW w:w="1744" w:type="dxa"/>
            <w:shd w:val="clear" w:color="auto" w:fill="auto"/>
          </w:tcPr>
          <w:p w14:paraId="0516B08B" w14:textId="7FFA81DE" w:rsidR="00D41241" w:rsidRPr="001114EE" w:rsidRDefault="00D41241" w:rsidP="00B6013D">
            <w:pPr>
              <w:rPr>
                <w:rFonts w:ascii="MS Gothic" w:eastAsia="MS Gothic" w:hAnsi="MS Gothic" w:cstheme="minorHAnsi"/>
                <w:color w:val="000000" w:themeColor="text1"/>
              </w:rPr>
            </w:pPr>
            <w:r>
              <w:rPr>
                <w:color w:val="000000" w:themeColor="text1"/>
              </w:rPr>
              <w:t>Subject to system level review/</w:t>
            </w:r>
            <w:r w:rsidR="00F82786">
              <w:rPr>
                <w:color w:val="000000" w:themeColor="text1"/>
              </w:rPr>
              <w:t xml:space="preserve"> </w:t>
            </w:r>
            <w:r>
              <w:rPr>
                <w:color w:val="000000" w:themeColor="text1"/>
              </w:rPr>
              <w:t>evaluation processes</w:t>
            </w:r>
          </w:p>
        </w:tc>
      </w:tr>
      <w:tr w:rsidR="00D41241" w:rsidRPr="001114EE" w14:paraId="27199D6A" w14:textId="77777777" w:rsidTr="00BB6F4C">
        <w:tc>
          <w:tcPr>
            <w:tcW w:w="2925" w:type="dxa"/>
            <w:shd w:val="clear" w:color="auto" w:fill="auto"/>
          </w:tcPr>
          <w:p w14:paraId="0160A3A8" w14:textId="77777777" w:rsidR="00D41241" w:rsidRPr="001114EE" w:rsidRDefault="00D41241" w:rsidP="00B6013D">
            <w:pPr>
              <w:rPr>
                <w:color w:val="000000" w:themeColor="text1"/>
              </w:rPr>
            </w:pPr>
            <w:r w:rsidRPr="001114EE">
              <w:rPr>
                <w:color w:val="000000" w:themeColor="text1"/>
              </w:rPr>
              <w:t>Libraries Tasmania – including Rock and Rhyme and Storytime</w:t>
            </w:r>
          </w:p>
        </w:tc>
        <w:tc>
          <w:tcPr>
            <w:tcW w:w="5704" w:type="dxa"/>
            <w:shd w:val="clear" w:color="auto" w:fill="auto"/>
          </w:tcPr>
          <w:p w14:paraId="737310D6" w14:textId="77777777" w:rsidR="00D41241" w:rsidRDefault="00D41241" w:rsidP="00B6013D">
            <w:pPr>
              <w:rPr>
                <w:color w:val="000000" w:themeColor="text1"/>
                <w:lang w:val="en-US"/>
              </w:rPr>
            </w:pPr>
            <w:r w:rsidRPr="001114EE">
              <w:rPr>
                <w:color w:val="000000" w:themeColor="text1"/>
                <w:lang w:val="en-US"/>
              </w:rPr>
              <w:t xml:space="preserve">Libraries offer opportunities for family literacy – adults and children learning together – at sites throughout the state. Many Libraries Tasmania sites have regular free 30-minute Rock and Rhyme and Storytime sessions. These sessions provide families with ideas about how to help develop children’s language and literacy at home. Rock and Rhyme is ideal for babies up to two years of age, Storytime is aimed at pre-schoolers aged between two and five years. </w:t>
            </w:r>
          </w:p>
          <w:p w14:paraId="2059D369" w14:textId="77777777" w:rsidR="00D41241" w:rsidRDefault="00D41241" w:rsidP="00B6013D">
            <w:pPr>
              <w:rPr>
                <w:color w:val="000000" w:themeColor="text1"/>
                <w:lang w:val="en-US"/>
              </w:rPr>
            </w:pPr>
          </w:p>
          <w:p w14:paraId="3110374A" w14:textId="77777777" w:rsidR="00D41241" w:rsidRDefault="00BA469C" w:rsidP="00B6013D">
            <w:hyperlink r:id="rId48" w:history="1">
              <w:r w:rsidR="00D41241">
                <w:rPr>
                  <w:rStyle w:val="Hyperlink"/>
                </w:rPr>
                <w:t>https://www.libraries.tas.gov.au/courses-events/Pages/kids.aspx</w:t>
              </w:r>
            </w:hyperlink>
          </w:p>
          <w:p w14:paraId="5625EB0C" w14:textId="77777777" w:rsidR="00D41241" w:rsidRDefault="00D41241" w:rsidP="00B6013D"/>
          <w:p w14:paraId="07B70B0C" w14:textId="77777777" w:rsidR="00D41241" w:rsidRPr="00E3437B" w:rsidRDefault="00BA469C" w:rsidP="00B6013D">
            <w:pPr>
              <w:rPr>
                <w:color w:val="000000" w:themeColor="text1"/>
                <w:lang w:val="en-US"/>
              </w:rPr>
            </w:pPr>
            <w:hyperlink r:id="rId49" w:history="1">
              <w:r w:rsidR="00D41241">
                <w:rPr>
                  <w:rStyle w:val="Hyperlink"/>
                </w:rPr>
                <w:t>https://greatstart.tas.gov.au/</w:t>
              </w:r>
            </w:hyperlink>
          </w:p>
        </w:tc>
        <w:tc>
          <w:tcPr>
            <w:tcW w:w="3802" w:type="dxa"/>
            <w:shd w:val="clear" w:color="auto" w:fill="auto"/>
          </w:tcPr>
          <w:p w14:paraId="142F7D1D" w14:textId="77777777" w:rsidR="00D41241" w:rsidRPr="001114EE" w:rsidRDefault="00D41241" w:rsidP="00B6013D">
            <w:pPr>
              <w:rPr>
                <w:color w:val="000000" w:themeColor="text1"/>
              </w:rPr>
            </w:pPr>
            <w:r w:rsidRPr="001114EE">
              <w:rPr>
                <w:color w:val="000000" w:themeColor="text1"/>
              </w:rPr>
              <w:t>Support families in developing children’s early language and literacy skills</w:t>
            </w:r>
          </w:p>
        </w:tc>
        <w:tc>
          <w:tcPr>
            <w:tcW w:w="1744" w:type="dxa"/>
            <w:shd w:val="clear" w:color="auto" w:fill="auto"/>
          </w:tcPr>
          <w:p w14:paraId="7CDF8C63" w14:textId="024E45C4" w:rsidR="00D41241" w:rsidRPr="001114EE" w:rsidRDefault="00D41241" w:rsidP="00B6013D">
            <w:pPr>
              <w:rPr>
                <w:rFonts w:cstheme="minorHAnsi"/>
                <w:color w:val="000000" w:themeColor="text1"/>
              </w:rPr>
            </w:pPr>
            <w:r>
              <w:rPr>
                <w:color w:val="000000" w:themeColor="text1"/>
              </w:rPr>
              <w:t>Subject to system level review/</w:t>
            </w:r>
            <w:r w:rsidR="00F82786">
              <w:rPr>
                <w:color w:val="000000" w:themeColor="text1"/>
              </w:rPr>
              <w:t xml:space="preserve"> </w:t>
            </w:r>
            <w:r>
              <w:rPr>
                <w:color w:val="000000" w:themeColor="text1"/>
              </w:rPr>
              <w:t>evaluation processes</w:t>
            </w:r>
          </w:p>
        </w:tc>
      </w:tr>
      <w:tr w:rsidR="00D41241" w:rsidRPr="001114EE" w14:paraId="19B6A4B0" w14:textId="77777777" w:rsidTr="00BB6F4C">
        <w:tc>
          <w:tcPr>
            <w:tcW w:w="2925" w:type="dxa"/>
            <w:shd w:val="clear" w:color="auto" w:fill="auto"/>
          </w:tcPr>
          <w:p w14:paraId="1CB8B145" w14:textId="77777777" w:rsidR="00D41241" w:rsidRPr="001114EE" w:rsidRDefault="00D41241" w:rsidP="00B6013D">
            <w:pPr>
              <w:rPr>
                <w:color w:val="000000" w:themeColor="text1"/>
              </w:rPr>
            </w:pPr>
            <w:r w:rsidRPr="001114EE">
              <w:rPr>
                <w:color w:val="000000" w:themeColor="text1"/>
              </w:rPr>
              <w:t xml:space="preserve">Educational Adjustments </w:t>
            </w:r>
          </w:p>
        </w:tc>
        <w:tc>
          <w:tcPr>
            <w:tcW w:w="5704" w:type="dxa"/>
            <w:shd w:val="clear" w:color="auto" w:fill="auto"/>
          </w:tcPr>
          <w:p w14:paraId="74755BA9" w14:textId="77777777" w:rsidR="00D41241" w:rsidRPr="001114EE" w:rsidRDefault="00D41241" w:rsidP="00B6013D">
            <w:pPr>
              <w:rPr>
                <w:color w:val="000000" w:themeColor="text1"/>
              </w:rPr>
            </w:pPr>
            <w:r w:rsidRPr="001114EE">
              <w:rPr>
                <w:color w:val="000000" w:themeColor="text1"/>
              </w:rPr>
              <w:t xml:space="preserve">Educational Adjustment funding is the Department’s new funding model to provide schools with the appropriate resources to enable them to provide students with disability the educational adjustments needed. This will apply to students who have been moderated by Inclusion and Diversity Services as requiring Supplementary, Substantial or Extensive educational adjustments under the Nationally Consistent Collection of Data for Students with disability. </w:t>
            </w:r>
          </w:p>
          <w:p w14:paraId="554A5A0E" w14:textId="77777777" w:rsidR="00D41241" w:rsidRDefault="00D41241" w:rsidP="00B6013D">
            <w:pPr>
              <w:rPr>
                <w:color w:val="000000" w:themeColor="text1"/>
              </w:rPr>
            </w:pPr>
            <w:r w:rsidRPr="001114EE">
              <w:rPr>
                <w:color w:val="000000" w:themeColor="text1"/>
              </w:rPr>
              <w:t>In the new model Kinder students moderated to the new levels of educational adjustment will be included in the Educational Adjustments funding</w:t>
            </w:r>
            <w:r>
              <w:rPr>
                <w:color w:val="000000" w:themeColor="text1"/>
              </w:rPr>
              <w:t>.</w:t>
            </w:r>
          </w:p>
          <w:p w14:paraId="206DA813" w14:textId="77777777" w:rsidR="00D41241" w:rsidRDefault="00D41241" w:rsidP="00B6013D">
            <w:pPr>
              <w:rPr>
                <w:color w:val="000000" w:themeColor="text1"/>
              </w:rPr>
            </w:pPr>
          </w:p>
          <w:p w14:paraId="29D5A457" w14:textId="77777777" w:rsidR="00D41241" w:rsidRPr="00E3437B" w:rsidRDefault="00BA469C" w:rsidP="00B6013D">
            <w:pPr>
              <w:rPr>
                <w:rFonts w:cs="Times New Roman"/>
              </w:rPr>
            </w:pPr>
            <w:hyperlink r:id="rId50" w:history="1">
              <w:r w:rsidR="00D41241">
                <w:rPr>
                  <w:rStyle w:val="Hyperlink"/>
                </w:rPr>
                <w:t>https://www.education.tas.gov.au/supporting-student-need/educational-adjustments/</w:t>
              </w:r>
            </w:hyperlink>
          </w:p>
        </w:tc>
        <w:tc>
          <w:tcPr>
            <w:tcW w:w="3802" w:type="dxa"/>
            <w:shd w:val="clear" w:color="auto" w:fill="auto"/>
          </w:tcPr>
          <w:p w14:paraId="040E635E" w14:textId="77777777" w:rsidR="00D41241" w:rsidRPr="001114EE" w:rsidRDefault="00D41241" w:rsidP="00B6013D">
            <w:pPr>
              <w:rPr>
                <w:color w:val="000000" w:themeColor="text1"/>
              </w:rPr>
            </w:pPr>
            <w:r>
              <w:rPr>
                <w:color w:val="000000" w:themeColor="text1"/>
              </w:rPr>
              <w:t xml:space="preserve">Equity and inclusion </w:t>
            </w:r>
          </w:p>
        </w:tc>
        <w:tc>
          <w:tcPr>
            <w:tcW w:w="1744" w:type="dxa"/>
            <w:shd w:val="clear" w:color="auto" w:fill="auto"/>
          </w:tcPr>
          <w:p w14:paraId="3706C4BF" w14:textId="0586FFB7" w:rsidR="00D41241" w:rsidRPr="001114EE" w:rsidRDefault="00D41241" w:rsidP="00B6013D">
            <w:pPr>
              <w:rPr>
                <w:rFonts w:cstheme="minorHAnsi"/>
                <w:color w:val="000000" w:themeColor="text1"/>
              </w:rPr>
            </w:pPr>
            <w:r>
              <w:rPr>
                <w:color w:val="000000" w:themeColor="text1"/>
              </w:rPr>
              <w:t>Subject to system level review</w:t>
            </w:r>
            <w:r w:rsidR="00F82786">
              <w:rPr>
                <w:color w:val="000000" w:themeColor="text1"/>
              </w:rPr>
              <w:t xml:space="preserve"> </w:t>
            </w:r>
            <w:r>
              <w:rPr>
                <w:color w:val="000000" w:themeColor="text1"/>
              </w:rPr>
              <w:t>/evaluation processes</w:t>
            </w:r>
          </w:p>
        </w:tc>
      </w:tr>
      <w:tr w:rsidR="00D41241" w:rsidRPr="001114EE" w14:paraId="034D814E" w14:textId="77777777" w:rsidTr="00BB6F4C">
        <w:tc>
          <w:tcPr>
            <w:tcW w:w="2925" w:type="dxa"/>
            <w:shd w:val="clear" w:color="auto" w:fill="auto"/>
          </w:tcPr>
          <w:p w14:paraId="0ED8AA7D" w14:textId="77777777" w:rsidR="00D41241" w:rsidRPr="001114EE" w:rsidRDefault="00D41241" w:rsidP="00B6013D">
            <w:pPr>
              <w:rPr>
                <w:color w:val="000000" w:themeColor="text1"/>
              </w:rPr>
            </w:pPr>
            <w:r>
              <w:rPr>
                <w:color w:val="000000" w:themeColor="text1"/>
              </w:rPr>
              <w:t>Early Childhood Intervention Service</w:t>
            </w:r>
          </w:p>
        </w:tc>
        <w:tc>
          <w:tcPr>
            <w:tcW w:w="5704" w:type="dxa"/>
            <w:shd w:val="clear" w:color="auto" w:fill="auto"/>
          </w:tcPr>
          <w:p w14:paraId="291139E1" w14:textId="77777777" w:rsidR="00D41241" w:rsidRDefault="00D41241" w:rsidP="00B6013D">
            <w:pPr>
              <w:rPr>
                <w:color w:val="000000" w:themeColor="text1"/>
              </w:rPr>
            </w:pPr>
            <w:r w:rsidRPr="00591A4A">
              <w:rPr>
                <w:color w:val="000000" w:themeColor="text1"/>
              </w:rPr>
              <w:t>Early Childhood Intervention Service (ECIS) is a statewide service working in partnership with families of very young children 0-4 years. ECIS maximises the developmental achievements of young children with developmental delays and disabilities; meets the needs of their families for knowledge, skills and support in raising their child; and enhances the capacity of the community to implement positive and effective systems to include young children with disabilities.</w:t>
            </w:r>
          </w:p>
          <w:p w14:paraId="14E6369F" w14:textId="77777777" w:rsidR="00D41241" w:rsidRPr="001114EE" w:rsidRDefault="00BA469C" w:rsidP="00B6013D">
            <w:pPr>
              <w:rPr>
                <w:color w:val="000000" w:themeColor="text1"/>
              </w:rPr>
            </w:pPr>
            <w:hyperlink r:id="rId51" w:history="1">
              <w:r w:rsidR="00D41241">
                <w:rPr>
                  <w:rStyle w:val="Hyperlink"/>
                </w:rPr>
                <w:t>https://www.education.tas.gov.au/parents-carers/early-years/early-childhood-intervention-service/</w:t>
              </w:r>
            </w:hyperlink>
            <w:r w:rsidR="00D41241">
              <w:t xml:space="preserve"> </w:t>
            </w:r>
          </w:p>
        </w:tc>
        <w:tc>
          <w:tcPr>
            <w:tcW w:w="3802" w:type="dxa"/>
            <w:shd w:val="clear" w:color="auto" w:fill="auto"/>
          </w:tcPr>
          <w:p w14:paraId="5ECA28FB" w14:textId="77777777" w:rsidR="00D41241" w:rsidRPr="001114EE" w:rsidRDefault="00D41241" w:rsidP="00B6013D">
            <w:pPr>
              <w:rPr>
                <w:color w:val="000000" w:themeColor="text1"/>
              </w:rPr>
            </w:pPr>
            <w:r>
              <w:rPr>
                <w:color w:val="000000" w:themeColor="text1"/>
              </w:rPr>
              <w:t>Equity and inclusion</w:t>
            </w:r>
          </w:p>
        </w:tc>
        <w:tc>
          <w:tcPr>
            <w:tcW w:w="1744" w:type="dxa"/>
            <w:shd w:val="clear" w:color="auto" w:fill="auto"/>
          </w:tcPr>
          <w:p w14:paraId="0C93205F" w14:textId="6FAB8695" w:rsidR="00D41241" w:rsidRPr="001114EE" w:rsidRDefault="00D41241" w:rsidP="00B6013D">
            <w:pPr>
              <w:rPr>
                <w:rFonts w:cstheme="minorHAnsi"/>
                <w:color w:val="000000" w:themeColor="text1"/>
              </w:rPr>
            </w:pPr>
            <w:r>
              <w:rPr>
                <w:color w:val="000000" w:themeColor="text1"/>
              </w:rPr>
              <w:t>Subject to system level review</w:t>
            </w:r>
            <w:r w:rsidR="00F82786">
              <w:rPr>
                <w:color w:val="000000" w:themeColor="text1"/>
              </w:rPr>
              <w:t xml:space="preserve"> </w:t>
            </w:r>
            <w:r>
              <w:rPr>
                <w:color w:val="000000" w:themeColor="text1"/>
              </w:rPr>
              <w:t>/evaluation processes</w:t>
            </w:r>
          </w:p>
        </w:tc>
      </w:tr>
    </w:tbl>
    <w:p w14:paraId="69129694" w14:textId="3990EB00" w:rsidR="00F82786" w:rsidRDefault="00F82786" w:rsidP="00D41241"/>
    <w:p w14:paraId="243EECA5" w14:textId="77777777" w:rsidR="00192655" w:rsidRDefault="00192655" w:rsidP="00D41241"/>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915"/>
        <w:gridCol w:w="5704"/>
        <w:gridCol w:w="3802"/>
        <w:gridCol w:w="1744"/>
      </w:tblGrid>
      <w:tr w:rsidR="00D41241" w:rsidRPr="002B22A8" w14:paraId="2E033B39" w14:textId="77777777" w:rsidTr="00BB6F4C">
        <w:tc>
          <w:tcPr>
            <w:tcW w:w="14175" w:type="dxa"/>
            <w:gridSpan w:val="5"/>
            <w:shd w:val="clear" w:color="auto" w:fill="BFBFBF" w:themeFill="background1" w:themeFillShade="BF"/>
          </w:tcPr>
          <w:p w14:paraId="21E250F4" w14:textId="77777777" w:rsidR="00D41241" w:rsidRPr="002B22A8" w:rsidRDefault="00D41241" w:rsidP="00B6013D">
            <w:pPr>
              <w:rPr>
                <w:rFonts w:eastAsia="Times New Roman"/>
                <w:color w:val="000000"/>
                <w:spacing w:val="2"/>
              </w:rPr>
            </w:pPr>
            <w:r>
              <w:rPr>
                <w:b/>
                <w:color w:val="002060"/>
              </w:rPr>
              <w:t>Victoria</w:t>
            </w:r>
          </w:p>
          <w:p w14:paraId="024862CE" w14:textId="77777777" w:rsidR="00D41241" w:rsidRPr="002B22A8" w:rsidRDefault="00D41241" w:rsidP="00B6013D">
            <w:pPr>
              <w:rPr>
                <w:rFonts w:eastAsia="Times New Roman"/>
                <w:color w:val="000000"/>
                <w:spacing w:val="2"/>
              </w:rPr>
            </w:pPr>
          </w:p>
        </w:tc>
      </w:tr>
      <w:tr w:rsidR="00D41241" w:rsidRPr="00961318" w14:paraId="7538EBB2" w14:textId="77777777" w:rsidTr="00BB6F4C">
        <w:trPr>
          <w:tblHeader/>
        </w:trPr>
        <w:tc>
          <w:tcPr>
            <w:tcW w:w="2925" w:type="dxa"/>
            <w:gridSpan w:val="2"/>
            <w:tcBorders>
              <w:top w:val="single" w:sz="4" w:space="0" w:color="auto"/>
              <w:left w:val="single" w:sz="4" w:space="0" w:color="auto"/>
            </w:tcBorders>
            <w:shd w:val="clear" w:color="auto" w:fill="auto"/>
          </w:tcPr>
          <w:p w14:paraId="4D03D100" w14:textId="77777777" w:rsidR="00D41241" w:rsidRPr="00961318" w:rsidRDefault="00D41241" w:rsidP="00B6013D">
            <w:pPr>
              <w:rPr>
                <w:b/>
                <w:color w:val="002060"/>
              </w:rPr>
            </w:pPr>
            <w:r w:rsidRPr="00961318">
              <w:rPr>
                <w:b/>
                <w:color w:val="002060"/>
              </w:rPr>
              <w:t>Program or initiative</w:t>
            </w:r>
          </w:p>
        </w:tc>
        <w:tc>
          <w:tcPr>
            <w:tcW w:w="5704" w:type="dxa"/>
            <w:tcBorders>
              <w:top w:val="single" w:sz="4" w:space="0" w:color="auto"/>
            </w:tcBorders>
            <w:shd w:val="clear" w:color="auto" w:fill="auto"/>
          </w:tcPr>
          <w:p w14:paraId="2675CEEF" w14:textId="77777777" w:rsidR="00D41241" w:rsidRPr="00961318" w:rsidRDefault="00D41241" w:rsidP="00B6013D">
            <w:pPr>
              <w:rPr>
                <w:b/>
                <w:color w:val="002060"/>
              </w:rPr>
            </w:pPr>
            <w:r>
              <w:rPr>
                <w:b/>
                <w:color w:val="002060"/>
              </w:rPr>
              <w:t xml:space="preserve">Details </w:t>
            </w:r>
          </w:p>
        </w:tc>
        <w:tc>
          <w:tcPr>
            <w:tcW w:w="3802" w:type="dxa"/>
            <w:shd w:val="clear" w:color="auto" w:fill="auto"/>
          </w:tcPr>
          <w:p w14:paraId="109069D0" w14:textId="77777777" w:rsidR="00D41241" w:rsidRPr="00961318" w:rsidRDefault="00D41241" w:rsidP="00B6013D">
            <w:pPr>
              <w:rPr>
                <w:b/>
                <w:color w:val="002060"/>
              </w:rPr>
            </w:pPr>
            <w:r w:rsidRPr="00961318">
              <w:rPr>
                <w:b/>
                <w:color w:val="002060"/>
              </w:rPr>
              <w:t>Key drivers</w:t>
            </w:r>
          </w:p>
        </w:tc>
        <w:tc>
          <w:tcPr>
            <w:tcW w:w="1744" w:type="dxa"/>
          </w:tcPr>
          <w:p w14:paraId="0F3812E1" w14:textId="77777777" w:rsidR="00D41241" w:rsidRPr="00961318" w:rsidRDefault="00D41241" w:rsidP="00B6013D">
            <w:pPr>
              <w:rPr>
                <w:b/>
                <w:color w:val="002060"/>
              </w:rPr>
            </w:pPr>
            <w:r>
              <w:rPr>
                <w:b/>
                <w:color w:val="002060"/>
              </w:rPr>
              <w:t>Evaluation?</w:t>
            </w:r>
          </w:p>
        </w:tc>
      </w:tr>
      <w:tr w:rsidR="00D41241" w:rsidRPr="00961318" w14:paraId="03E403B8" w14:textId="77777777" w:rsidTr="00BB6F4C">
        <w:trPr>
          <w:gridBefore w:val="1"/>
          <w:wBefore w:w="10" w:type="dxa"/>
        </w:trPr>
        <w:tc>
          <w:tcPr>
            <w:tcW w:w="2915" w:type="dxa"/>
            <w:shd w:val="clear" w:color="auto" w:fill="auto"/>
          </w:tcPr>
          <w:p w14:paraId="23B70114" w14:textId="77777777" w:rsidR="00D41241" w:rsidRPr="00B21E12" w:rsidRDefault="00D41241" w:rsidP="00B6013D">
            <w:pPr>
              <w:rPr>
                <w:rFonts w:cs="Calibri"/>
              </w:rPr>
            </w:pPr>
            <w:r w:rsidRPr="00B21E12">
              <w:rPr>
                <w:rFonts w:cs="Calibri"/>
              </w:rPr>
              <w:t>Early Start Kindergarten</w:t>
            </w:r>
          </w:p>
        </w:tc>
        <w:tc>
          <w:tcPr>
            <w:tcW w:w="5704" w:type="dxa"/>
            <w:shd w:val="clear" w:color="auto" w:fill="auto"/>
          </w:tcPr>
          <w:p w14:paraId="4D5933A1" w14:textId="2FA2B66E" w:rsidR="00D41241" w:rsidRPr="00B21E12" w:rsidRDefault="00D41241" w:rsidP="0008531B">
            <w:pPr>
              <w:jc w:val="both"/>
              <w:rPr>
                <w:color w:val="000000"/>
              </w:rPr>
            </w:pPr>
            <w:r>
              <w:rPr>
                <w:color w:val="000000"/>
              </w:rPr>
              <w:t xml:space="preserve">Funding to support children from </w:t>
            </w:r>
            <w:r w:rsidRPr="00B21E12">
              <w:rPr>
                <w:color w:val="000000"/>
              </w:rPr>
              <w:t xml:space="preserve">Aboriginal or Torres Strait Islander children and families </w:t>
            </w:r>
            <w:r>
              <w:rPr>
                <w:color w:val="000000"/>
              </w:rPr>
              <w:t xml:space="preserve">backgrounds and those </w:t>
            </w:r>
            <w:r w:rsidRPr="00B21E12">
              <w:rPr>
                <w:color w:val="000000"/>
              </w:rPr>
              <w:t>who have had contact with Child</w:t>
            </w:r>
            <w:r w:rsidR="0008531B">
              <w:rPr>
                <w:color w:val="000000"/>
              </w:rPr>
              <w:t xml:space="preserve"> Protection</w:t>
            </w:r>
            <w:r>
              <w:rPr>
                <w:color w:val="000000"/>
              </w:rPr>
              <w:t xml:space="preserve"> to access kindergarten two years before school. </w:t>
            </w:r>
            <w:r w:rsidR="0008531B">
              <w:rPr>
                <w:color w:val="000000"/>
              </w:rPr>
              <w:t xml:space="preserve"> </w:t>
            </w:r>
            <w:r w:rsidRPr="00B21E12">
              <w:rPr>
                <w:rFonts w:eastAsia="Times New Roman"/>
                <w:color w:val="000000"/>
              </w:rPr>
              <w:t>Child</w:t>
            </w:r>
            <w:r>
              <w:rPr>
                <w:rFonts w:eastAsia="Times New Roman"/>
                <w:color w:val="000000"/>
              </w:rPr>
              <w:t>ren</w:t>
            </w:r>
            <w:r w:rsidRPr="00B21E12">
              <w:rPr>
                <w:rFonts w:eastAsia="Times New Roman"/>
                <w:color w:val="000000"/>
              </w:rPr>
              <w:t xml:space="preserve"> must be 3 by 30</w:t>
            </w:r>
            <w:r w:rsidRPr="00B21E12">
              <w:rPr>
                <w:rFonts w:eastAsia="Times New Roman"/>
                <w:color w:val="000000"/>
                <w:vertAlign w:val="superscript"/>
              </w:rPr>
              <w:t>th</w:t>
            </w:r>
            <w:r w:rsidRPr="00B21E12">
              <w:rPr>
                <w:rFonts w:eastAsia="Times New Roman"/>
                <w:color w:val="000000"/>
              </w:rPr>
              <w:t xml:space="preserve"> of April in the year they wil</w:t>
            </w:r>
            <w:r>
              <w:rPr>
                <w:rFonts w:eastAsia="Times New Roman"/>
                <w:color w:val="000000"/>
              </w:rPr>
              <w:t>l start and the kindergarten program must be delivered by a bachelor qualified teacher.</w:t>
            </w:r>
          </w:p>
        </w:tc>
        <w:tc>
          <w:tcPr>
            <w:tcW w:w="3802" w:type="dxa"/>
            <w:shd w:val="clear" w:color="auto" w:fill="auto"/>
          </w:tcPr>
          <w:p w14:paraId="721E7C01" w14:textId="77777777" w:rsidR="00D41241" w:rsidRPr="00B21E12" w:rsidRDefault="00D41241" w:rsidP="00B6013D">
            <w:pPr>
              <w:jc w:val="both"/>
              <w:rPr>
                <w:rFonts w:cs="Calibri"/>
              </w:rPr>
            </w:pPr>
            <w:r w:rsidRPr="00B21E12">
              <w:rPr>
                <w:rFonts w:cs="Calibri"/>
              </w:rPr>
              <w:t>Access for Aboriginal and Torres Strait Islander children to early preschool program</w:t>
            </w:r>
          </w:p>
        </w:tc>
        <w:tc>
          <w:tcPr>
            <w:tcW w:w="1744" w:type="dxa"/>
            <w:shd w:val="clear" w:color="auto" w:fill="auto"/>
          </w:tcPr>
          <w:p w14:paraId="16882E5F" w14:textId="396B73A2" w:rsidR="00D41241" w:rsidRDefault="009B27CD" w:rsidP="00B6013D">
            <w:r>
              <w:t>Internal E</w:t>
            </w:r>
            <w:r w:rsidR="00D41241">
              <w:t>valuation Completed</w:t>
            </w:r>
            <w:r>
              <w:t xml:space="preserve"> in 2017. </w:t>
            </w:r>
          </w:p>
          <w:p w14:paraId="0167BDAB" w14:textId="35EC4118" w:rsidR="00D41241" w:rsidRPr="003B1303" w:rsidRDefault="00D41241" w:rsidP="00B6013D">
            <w:r w:rsidRPr="00DB5613">
              <w:rPr>
                <w:rFonts w:eastAsia="Times New Roman"/>
                <w:color w:val="000000"/>
              </w:rPr>
              <w:t>Outcomes informed place bas</w:t>
            </w:r>
            <w:r w:rsidR="0008531B">
              <w:rPr>
                <w:rFonts w:eastAsia="Times New Roman"/>
                <w:color w:val="000000"/>
              </w:rPr>
              <w:t xml:space="preserve">ed strategies and interventions </w:t>
            </w:r>
            <w:r w:rsidRPr="00DB5613">
              <w:rPr>
                <w:rFonts w:eastAsia="Times New Roman"/>
                <w:color w:val="000000"/>
              </w:rPr>
              <w:t>not publically available.</w:t>
            </w:r>
          </w:p>
        </w:tc>
      </w:tr>
      <w:tr w:rsidR="00D41241" w14:paraId="1D7B2F69" w14:textId="77777777" w:rsidTr="00BB6F4C">
        <w:trPr>
          <w:gridBefore w:val="1"/>
          <w:wBefore w:w="10" w:type="dxa"/>
        </w:trPr>
        <w:tc>
          <w:tcPr>
            <w:tcW w:w="2915" w:type="dxa"/>
            <w:shd w:val="clear" w:color="auto" w:fill="auto"/>
          </w:tcPr>
          <w:p w14:paraId="5D6F5EF8" w14:textId="77777777" w:rsidR="00D41241" w:rsidRPr="00B21E12" w:rsidRDefault="00D41241" w:rsidP="00B6013D">
            <w:pPr>
              <w:rPr>
                <w:rFonts w:cs="Calibri"/>
              </w:rPr>
            </w:pPr>
            <w:r w:rsidRPr="00DB5613">
              <w:rPr>
                <w:rFonts w:cs="Calibri"/>
              </w:rPr>
              <w:t>Access to Early Learning</w:t>
            </w:r>
            <w:r>
              <w:rPr>
                <w:rFonts w:cs="Calibri"/>
              </w:rPr>
              <w:t xml:space="preserve"> </w:t>
            </w:r>
          </w:p>
        </w:tc>
        <w:tc>
          <w:tcPr>
            <w:tcW w:w="5704" w:type="dxa"/>
            <w:shd w:val="clear" w:color="auto" w:fill="auto"/>
          </w:tcPr>
          <w:p w14:paraId="149B2D1E" w14:textId="77777777" w:rsidR="00D41241" w:rsidRDefault="00D41241" w:rsidP="0008531B">
            <w:pPr>
              <w:pStyle w:val="ListParagraph"/>
              <w:ind w:left="0" w:firstLine="0"/>
              <w:jc w:val="left"/>
            </w:pPr>
            <w:r w:rsidRPr="000A31E9">
              <w:t>Access to Early Learning (AEL) is a targeted early intervention program which enables three-year-old children from families with multiple</w:t>
            </w:r>
            <w:r>
              <w:t xml:space="preserve"> and</w:t>
            </w:r>
            <w:r w:rsidRPr="000A31E9">
              <w:t xml:space="preserve"> complex needs to participate in universal education and care.</w:t>
            </w:r>
            <w:r w:rsidRPr="000A31E9" w:rsidDel="00DD38AB">
              <w:t xml:space="preserve"> </w:t>
            </w:r>
          </w:p>
          <w:p w14:paraId="201E8409" w14:textId="77777777" w:rsidR="00D41241" w:rsidRPr="000A31E9" w:rsidRDefault="00D41241" w:rsidP="00B6013D">
            <w:pPr>
              <w:pStyle w:val="ListParagraph"/>
              <w:ind w:left="0"/>
              <w:jc w:val="left"/>
            </w:pPr>
          </w:p>
          <w:p w14:paraId="4DBC0038" w14:textId="77777777" w:rsidR="00D41241" w:rsidRDefault="00D41241" w:rsidP="00B6013D">
            <w:r w:rsidRPr="000A31E9">
              <w:t xml:space="preserve">AEL provides an experienced, and degree-qualified facilitator who works with families, educators and services to support a vulnerable child’s sustained participation in 15 hours of kindergarten program per week.  </w:t>
            </w:r>
            <w:r>
              <w:t xml:space="preserve">There are seven sites in Victoria. </w:t>
            </w:r>
          </w:p>
          <w:p w14:paraId="406151F7" w14:textId="77777777" w:rsidR="00D41241" w:rsidRDefault="00D41241" w:rsidP="00B6013D"/>
          <w:p w14:paraId="7092409A" w14:textId="77777777" w:rsidR="00D41241" w:rsidRPr="003B1303" w:rsidRDefault="00D41241" w:rsidP="00B6013D">
            <w:pPr>
              <w:rPr>
                <w:rFonts w:cs="Calibri"/>
              </w:rPr>
            </w:pPr>
            <w:r>
              <w:rPr>
                <w:rFonts w:cs="Calibri"/>
              </w:rPr>
              <w:t>The intervention uses a strategic focus on children’s learning and education and tailored responses to the specific family barriers to participation and outreached in-home learning activities to strengthen parents’ capacity to support their children’s learning.</w:t>
            </w:r>
          </w:p>
        </w:tc>
        <w:tc>
          <w:tcPr>
            <w:tcW w:w="3802" w:type="dxa"/>
            <w:shd w:val="clear" w:color="auto" w:fill="auto"/>
          </w:tcPr>
          <w:p w14:paraId="35C545EA" w14:textId="77777777" w:rsidR="00D41241" w:rsidRDefault="00D41241" w:rsidP="00B6013D">
            <w:pPr>
              <w:jc w:val="both"/>
              <w:rPr>
                <w:rFonts w:cs="Calibri"/>
              </w:rPr>
            </w:pPr>
            <w:r>
              <w:rPr>
                <w:rFonts w:cs="Calibri"/>
              </w:rPr>
              <w:t>Addressing cost alone is insufficient to ensure participation in universal kindergarten programs by children from families with multiple and complex needs.</w:t>
            </w:r>
          </w:p>
          <w:p w14:paraId="6C17E01F" w14:textId="77777777" w:rsidR="00D41241" w:rsidRPr="00B21E12" w:rsidRDefault="00D41241" w:rsidP="00B6013D">
            <w:pPr>
              <w:jc w:val="both"/>
              <w:rPr>
                <w:rFonts w:cs="Calibri"/>
              </w:rPr>
            </w:pPr>
            <w:r>
              <w:rPr>
                <w:rFonts w:cs="Calibri"/>
              </w:rPr>
              <w:t xml:space="preserve">A multi-level and holistic response is required to sustain attendance.   </w:t>
            </w:r>
          </w:p>
        </w:tc>
        <w:tc>
          <w:tcPr>
            <w:tcW w:w="1744" w:type="dxa"/>
            <w:shd w:val="clear" w:color="auto" w:fill="auto"/>
          </w:tcPr>
          <w:p w14:paraId="6AFDF55A" w14:textId="77777777" w:rsidR="00D41241" w:rsidRDefault="00D41241" w:rsidP="00E74E96">
            <w:pPr>
              <w:ind w:right="-112"/>
            </w:pPr>
            <w:r>
              <w:t>External Evaluation Completed</w:t>
            </w:r>
          </w:p>
          <w:p w14:paraId="2BBA73B5" w14:textId="77777777" w:rsidR="00D41241" w:rsidRDefault="00D41241" w:rsidP="00E74E96">
            <w:pPr>
              <w:ind w:right="-112"/>
            </w:pPr>
          </w:p>
          <w:p w14:paraId="3168D334" w14:textId="448C6C06" w:rsidR="00D41241" w:rsidRDefault="00D41241" w:rsidP="00E74E96">
            <w:pPr>
              <w:ind w:right="-112"/>
              <w:rPr>
                <w:rFonts w:cstheme="minorHAnsi"/>
              </w:rPr>
            </w:pPr>
            <w:r>
              <w:t xml:space="preserve">The evaluation of the program by </w:t>
            </w:r>
            <w:r w:rsidRPr="006A2C71">
              <w:t>M</w:t>
            </w:r>
            <w:r>
              <w:t>urdoch Children’s Research Institute in 2017 indicated a high and sustained attendance into the year before school by children supported by AEL.</w:t>
            </w:r>
          </w:p>
        </w:tc>
      </w:tr>
      <w:tr w:rsidR="00D41241" w:rsidRPr="00F925E9" w14:paraId="41399A7E" w14:textId="77777777" w:rsidTr="00BB6F4C">
        <w:trPr>
          <w:gridBefore w:val="1"/>
          <w:wBefore w:w="10" w:type="dxa"/>
          <w:trHeight w:val="1833"/>
        </w:trPr>
        <w:tc>
          <w:tcPr>
            <w:tcW w:w="2915" w:type="dxa"/>
            <w:shd w:val="clear" w:color="auto" w:fill="auto"/>
          </w:tcPr>
          <w:p w14:paraId="19D6877E" w14:textId="77777777" w:rsidR="00D41241" w:rsidRPr="00F925E9" w:rsidRDefault="00D41241" w:rsidP="00B6013D">
            <w:r w:rsidRPr="00F925E9">
              <w:t>Early Childhood Agreement for Children in O</w:t>
            </w:r>
            <w:r>
              <w:t xml:space="preserve">ut of Home Care.  </w:t>
            </w:r>
          </w:p>
        </w:tc>
        <w:tc>
          <w:tcPr>
            <w:tcW w:w="5704" w:type="dxa"/>
            <w:shd w:val="clear" w:color="auto" w:fill="auto"/>
          </w:tcPr>
          <w:p w14:paraId="5618B707" w14:textId="77777777" w:rsidR="00D41241" w:rsidRPr="00F925E9" w:rsidRDefault="00D41241" w:rsidP="00B6013D">
            <w:r w:rsidRPr="00F925E9">
              <w:t>The Early Childhood Agreement for children in Out-of-Home Care (the Agreement) was refreshed in 2018 with 11 partners. The Agreement outlines the shared responsibility fo</w:t>
            </w:r>
            <w:r>
              <w:t xml:space="preserve">r the engagement of children in </w:t>
            </w:r>
            <w:r w:rsidRPr="00F925E9">
              <w:t xml:space="preserve">out-of-home care in universal education and care with a focus on participation in funded kindergarten programs, immunisation and health assessments.  </w:t>
            </w:r>
          </w:p>
        </w:tc>
        <w:tc>
          <w:tcPr>
            <w:tcW w:w="3802" w:type="dxa"/>
            <w:shd w:val="clear" w:color="auto" w:fill="auto"/>
          </w:tcPr>
          <w:p w14:paraId="0D32619C" w14:textId="77777777" w:rsidR="00D41241" w:rsidRPr="00F925E9" w:rsidRDefault="00D41241" w:rsidP="00B6013D">
            <w:r>
              <w:t>Children in out-of-home-care have poorer educational outcomes and miss out on early childhood education.</w:t>
            </w:r>
          </w:p>
        </w:tc>
        <w:tc>
          <w:tcPr>
            <w:tcW w:w="1744" w:type="dxa"/>
            <w:shd w:val="clear" w:color="auto" w:fill="auto"/>
          </w:tcPr>
          <w:p w14:paraId="60D75DE2" w14:textId="77777777" w:rsidR="00D41241" w:rsidRPr="00F925E9" w:rsidRDefault="00D41241" w:rsidP="00B6013D">
            <w:r>
              <w:rPr>
                <w:rFonts w:ascii="Segoe UI Symbol" w:hAnsi="Segoe UI Symbol" w:cs="Segoe UI Symbol"/>
              </w:rPr>
              <w:t xml:space="preserve">Internal </w:t>
            </w:r>
            <w:r>
              <w:t xml:space="preserve"> Evaluation Completed</w:t>
            </w:r>
          </w:p>
        </w:tc>
      </w:tr>
      <w:tr w:rsidR="00D41241" w14:paraId="3F0D72D3" w14:textId="77777777" w:rsidTr="00BB6F4C">
        <w:trPr>
          <w:gridBefore w:val="1"/>
          <w:wBefore w:w="10" w:type="dxa"/>
        </w:trPr>
        <w:tc>
          <w:tcPr>
            <w:tcW w:w="2915" w:type="dxa"/>
            <w:shd w:val="clear" w:color="auto" w:fill="auto"/>
          </w:tcPr>
          <w:p w14:paraId="59E8A31F" w14:textId="77777777" w:rsidR="00D41241" w:rsidRPr="006532A4" w:rsidRDefault="00D41241" w:rsidP="00B6013D">
            <w:pPr>
              <w:rPr>
                <w:rFonts w:cs="Calibri"/>
                <w:highlight w:val="yellow"/>
              </w:rPr>
            </w:pPr>
            <w:r w:rsidRPr="000C3E2C">
              <w:rPr>
                <w:rFonts w:cs="Calibri"/>
              </w:rPr>
              <w:t>LOOKOUT Early Childhood Pilot</w:t>
            </w:r>
          </w:p>
        </w:tc>
        <w:tc>
          <w:tcPr>
            <w:tcW w:w="5704" w:type="dxa"/>
            <w:shd w:val="clear" w:color="auto" w:fill="auto"/>
          </w:tcPr>
          <w:p w14:paraId="4CC6C3D0" w14:textId="52D4361F" w:rsidR="009B27CD" w:rsidRPr="000A31E9" w:rsidRDefault="00D41241" w:rsidP="0008531B">
            <w:pPr>
              <w:pStyle w:val="ListParagraph"/>
              <w:ind w:left="0" w:firstLine="0"/>
            </w:pPr>
            <w:r>
              <w:t xml:space="preserve">LOOKOUT Centres were introduced in 2016, to support and monitor the engagement of children in </w:t>
            </w:r>
            <w:r w:rsidRPr="00DE19C8">
              <w:t xml:space="preserve">out-of-home </w:t>
            </w:r>
            <w:r>
              <w:t>care in schools.  In 2018/19 the approach was extended into early childhood, with a view to ensuring children access kindergarten.  13 Early Childhood Learning Advisors are placed in areas of high need across.  They work closely with Local Government, Child Protection and service providers to ensure children are identified and connected with services.</w:t>
            </w:r>
          </w:p>
        </w:tc>
        <w:tc>
          <w:tcPr>
            <w:tcW w:w="3802" w:type="dxa"/>
            <w:shd w:val="clear" w:color="auto" w:fill="auto"/>
          </w:tcPr>
          <w:p w14:paraId="0052DD74" w14:textId="77777777" w:rsidR="00D41241" w:rsidRDefault="00D41241" w:rsidP="00B6013D">
            <w:pPr>
              <w:jc w:val="both"/>
              <w:rPr>
                <w:rFonts w:cs="Calibri"/>
              </w:rPr>
            </w:pPr>
            <w:r w:rsidRPr="00DE19C8">
              <w:rPr>
                <w:rFonts w:cs="Calibri"/>
              </w:rPr>
              <w:t>Children in out-of-home-care have poorer educational outcomes and miss out on early childhood education.</w:t>
            </w:r>
          </w:p>
        </w:tc>
        <w:tc>
          <w:tcPr>
            <w:tcW w:w="1744" w:type="dxa"/>
            <w:shd w:val="clear" w:color="auto" w:fill="auto"/>
          </w:tcPr>
          <w:p w14:paraId="06066B48" w14:textId="77777777" w:rsidR="00D41241" w:rsidRPr="00DE19C8" w:rsidRDefault="00D41241" w:rsidP="00B6013D">
            <w:pPr>
              <w:rPr>
                <w:rFonts w:cstheme="minorHAnsi"/>
              </w:rPr>
            </w:pPr>
            <w:r w:rsidRPr="00DE19C8">
              <w:rPr>
                <w:rFonts w:cstheme="minorHAnsi"/>
              </w:rPr>
              <w:t xml:space="preserve">No Evaluation </w:t>
            </w:r>
          </w:p>
          <w:p w14:paraId="3F4E6F37" w14:textId="77777777" w:rsidR="00D41241" w:rsidRDefault="00D41241" w:rsidP="00B6013D">
            <w:pPr>
              <w:rPr>
                <w:rFonts w:cstheme="minorHAnsi"/>
              </w:rPr>
            </w:pPr>
          </w:p>
        </w:tc>
      </w:tr>
      <w:tr w:rsidR="00D41241" w:rsidRPr="00DE19C8" w14:paraId="7EC427EE" w14:textId="77777777" w:rsidTr="00BB6F4C">
        <w:trPr>
          <w:gridBefore w:val="1"/>
          <w:wBefore w:w="10" w:type="dxa"/>
          <w:trHeight w:val="335"/>
        </w:trPr>
        <w:tc>
          <w:tcPr>
            <w:tcW w:w="2915" w:type="dxa"/>
            <w:shd w:val="clear" w:color="auto" w:fill="auto"/>
          </w:tcPr>
          <w:p w14:paraId="01FAD42F" w14:textId="77777777" w:rsidR="00D41241" w:rsidRDefault="00D41241" w:rsidP="00B6013D">
            <w:pPr>
              <w:rPr>
                <w:rFonts w:cs="Calibri"/>
                <w:highlight w:val="yellow"/>
              </w:rPr>
            </w:pPr>
            <w:r w:rsidRPr="000C3E2C">
              <w:rPr>
                <w:rFonts w:cs="Calibri"/>
              </w:rPr>
              <w:t>Local Government, Maternal and Child Health and Playgroups</w:t>
            </w:r>
          </w:p>
        </w:tc>
        <w:tc>
          <w:tcPr>
            <w:tcW w:w="5704" w:type="dxa"/>
            <w:shd w:val="clear" w:color="auto" w:fill="auto"/>
          </w:tcPr>
          <w:p w14:paraId="0EAAC626" w14:textId="77777777" w:rsidR="00D41241" w:rsidRPr="008B6A04" w:rsidRDefault="00D41241" w:rsidP="00B6013D">
            <w:r w:rsidRPr="008B6A04">
              <w:t>Local government plays a critical role in kindergarten planning, service provision and infrastructure and promotes participation through central enrolment schemes and as the provider of Maternal and Child Health services.</w:t>
            </w:r>
          </w:p>
          <w:p w14:paraId="488066B0" w14:textId="77777777" w:rsidR="00D41241" w:rsidRDefault="00D41241" w:rsidP="00B6013D"/>
          <w:p w14:paraId="00F05857" w14:textId="77777777" w:rsidR="00D41241" w:rsidRDefault="00D41241" w:rsidP="00B6013D">
            <w:r w:rsidRPr="008B6A04">
              <w:t>Through the Early Years Compact, the Department works with local government and key partners to address the systemic barriers to identification and enrolment of children experiencing vulnerabilities.</w:t>
            </w:r>
          </w:p>
          <w:p w14:paraId="1F79B263" w14:textId="77777777" w:rsidR="00D41241" w:rsidRPr="008B6A04" w:rsidRDefault="00D41241" w:rsidP="00B6013D"/>
          <w:p w14:paraId="1ABD3CF6" w14:textId="77777777" w:rsidR="00D41241" w:rsidRDefault="00D41241" w:rsidP="00B6013D">
            <w:r w:rsidRPr="008B6A04">
              <w:t>Supported playgroups also operate across Victoria and have a critical relationship with Maternal and Child Health services to engage with families and promote early childhood education services including kindergarten.</w:t>
            </w:r>
          </w:p>
          <w:p w14:paraId="3DA2391E" w14:textId="43BF7DDC" w:rsidR="00F82786" w:rsidRPr="008B6A04" w:rsidRDefault="00F82786" w:rsidP="00B6013D"/>
          <w:p w14:paraId="505321DC" w14:textId="77777777" w:rsidR="00D41241" w:rsidRDefault="00D41241" w:rsidP="0008531B">
            <w:pPr>
              <w:pStyle w:val="ListParagraph"/>
              <w:ind w:left="0" w:firstLine="0"/>
            </w:pPr>
            <w:r w:rsidRPr="008B6A04">
              <w:t>At a local level, collaboration between kindergarten services, Maternal and Child Health services and playgroups works towards increasing awareness of the benefits of a kindergarten program am</w:t>
            </w:r>
            <w:r>
              <w:t>ongst families that may not have</w:t>
            </w:r>
            <w:r w:rsidRPr="008B6A04">
              <w:t xml:space="preserve"> otherwise enrolled.</w:t>
            </w:r>
          </w:p>
        </w:tc>
        <w:tc>
          <w:tcPr>
            <w:tcW w:w="3802" w:type="dxa"/>
            <w:shd w:val="clear" w:color="auto" w:fill="auto"/>
          </w:tcPr>
          <w:p w14:paraId="2046CCBD" w14:textId="77777777" w:rsidR="00D41241" w:rsidRPr="00DE19C8" w:rsidRDefault="00D41241" w:rsidP="00B6013D">
            <w:pPr>
              <w:rPr>
                <w:rFonts w:cs="Calibri"/>
              </w:rPr>
            </w:pPr>
            <w:r>
              <w:rPr>
                <w:rFonts w:cs="Calibri"/>
              </w:rPr>
              <w:t xml:space="preserve">Increase enrolment and participation of families involved in these services that would otherwise not have known about kindergarten.  </w:t>
            </w:r>
          </w:p>
        </w:tc>
        <w:tc>
          <w:tcPr>
            <w:tcW w:w="1744" w:type="dxa"/>
            <w:shd w:val="clear" w:color="auto" w:fill="auto"/>
          </w:tcPr>
          <w:p w14:paraId="57294401" w14:textId="77777777" w:rsidR="00D41241" w:rsidRPr="00DE19C8" w:rsidRDefault="00D41241" w:rsidP="00B6013D">
            <w:pPr>
              <w:rPr>
                <w:rFonts w:cstheme="minorHAnsi"/>
              </w:rPr>
            </w:pPr>
            <w:r w:rsidRPr="00DE19C8">
              <w:rPr>
                <w:rFonts w:cstheme="minorHAnsi"/>
              </w:rPr>
              <w:t xml:space="preserve">No Evaluation </w:t>
            </w:r>
          </w:p>
          <w:p w14:paraId="6522AFEE" w14:textId="77777777" w:rsidR="00D41241" w:rsidRPr="00DE19C8" w:rsidRDefault="00D41241" w:rsidP="00B6013D">
            <w:pPr>
              <w:rPr>
                <w:rFonts w:ascii="Segoe UI Symbol" w:hAnsi="Segoe UI Symbol" w:cs="Segoe UI Symbol"/>
              </w:rPr>
            </w:pPr>
          </w:p>
        </w:tc>
      </w:tr>
      <w:tr w:rsidR="00D41241" w:rsidRPr="00DE19C8" w14:paraId="564ECEA6" w14:textId="77777777" w:rsidTr="00BB6F4C">
        <w:trPr>
          <w:gridBefore w:val="1"/>
          <w:wBefore w:w="10" w:type="dxa"/>
          <w:trHeight w:val="2034"/>
        </w:trPr>
        <w:tc>
          <w:tcPr>
            <w:tcW w:w="2915" w:type="dxa"/>
            <w:shd w:val="clear" w:color="auto" w:fill="auto"/>
          </w:tcPr>
          <w:p w14:paraId="463CD9EF" w14:textId="77777777" w:rsidR="00D41241" w:rsidRDefault="00D41241" w:rsidP="00B6013D">
            <w:pPr>
              <w:rPr>
                <w:rFonts w:cs="Calibri"/>
                <w:highlight w:val="yellow"/>
              </w:rPr>
            </w:pPr>
            <w:r w:rsidRPr="000C3E2C">
              <w:rPr>
                <w:rFonts w:cs="Calibri"/>
              </w:rPr>
              <w:t>Foundation House</w:t>
            </w:r>
          </w:p>
        </w:tc>
        <w:tc>
          <w:tcPr>
            <w:tcW w:w="5704" w:type="dxa"/>
            <w:shd w:val="clear" w:color="auto" w:fill="auto"/>
          </w:tcPr>
          <w:p w14:paraId="2781850F" w14:textId="0F440F99" w:rsidR="00D41241" w:rsidRPr="00277096" w:rsidRDefault="00D41241" w:rsidP="00B6013D">
            <w:pPr>
              <w:pStyle w:val="DETBodyText"/>
              <w:spacing w:before="120"/>
              <w:rPr>
                <w:lang w:val="en-AU"/>
              </w:rPr>
            </w:pPr>
            <w:r w:rsidRPr="00277096">
              <w:rPr>
                <w:lang w:val="en-AU"/>
              </w:rPr>
              <w:t>The Foundation House Early Years Program works with the Department,</w:t>
            </w:r>
            <w:r>
              <w:rPr>
                <w:lang w:val="en-AU"/>
              </w:rPr>
              <w:t xml:space="preserve"> </w:t>
            </w:r>
            <w:r w:rsidRPr="006A2C71">
              <w:rPr>
                <w:lang w:val="en-AU"/>
              </w:rPr>
              <w:t xml:space="preserve">Municipal Association of </w:t>
            </w:r>
            <w:r w:rsidR="00745629" w:rsidRPr="006A2C71">
              <w:rPr>
                <w:lang w:val="en-AU"/>
              </w:rPr>
              <w:t>Victoria</w:t>
            </w:r>
            <w:r w:rsidRPr="006A2C71">
              <w:rPr>
                <w:lang w:val="en-AU"/>
              </w:rPr>
              <w:t>, Local Government Areas and</w:t>
            </w:r>
            <w:r w:rsidRPr="00277096">
              <w:rPr>
                <w:lang w:val="en-AU"/>
              </w:rPr>
              <w:t xml:space="preserve"> services to improve the hea</w:t>
            </w:r>
            <w:r>
              <w:rPr>
                <w:lang w:val="en-AU"/>
              </w:rPr>
              <w:t xml:space="preserve">lth, development, wellbeing and </w:t>
            </w:r>
            <w:r w:rsidRPr="00277096">
              <w:rPr>
                <w:lang w:val="en-AU"/>
              </w:rPr>
              <w:t>educational outcomes for children and families from refugee backgrounds.</w:t>
            </w:r>
          </w:p>
          <w:p w14:paraId="2EDA651F" w14:textId="77777777" w:rsidR="00D41241" w:rsidRPr="008B6A04" w:rsidRDefault="00D41241" w:rsidP="00B6013D">
            <w:r w:rsidRPr="00277096">
              <w:t>Priorities include building the capacity and skills of educators to understand</w:t>
            </w:r>
            <w:r>
              <w:t xml:space="preserve"> </w:t>
            </w:r>
            <w:r w:rsidRPr="00277096">
              <w:t>the impact of trauma and the development of strategies to deliver inclusive</w:t>
            </w:r>
            <w:r>
              <w:t xml:space="preserve"> </w:t>
            </w:r>
            <w:r w:rsidRPr="00277096">
              <w:t>services.</w:t>
            </w:r>
          </w:p>
        </w:tc>
        <w:tc>
          <w:tcPr>
            <w:tcW w:w="3802" w:type="dxa"/>
            <w:shd w:val="clear" w:color="auto" w:fill="auto"/>
          </w:tcPr>
          <w:p w14:paraId="0B66137B" w14:textId="77777777" w:rsidR="00D41241" w:rsidRDefault="00D41241" w:rsidP="00B6013D">
            <w:pPr>
              <w:rPr>
                <w:rFonts w:cs="Calibri"/>
              </w:rPr>
            </w:pPr>
            <w:r>
              <w:rPr>
                <w:rFonts w:cs="Calibri"/>
              </w:rPr>
              <w:t xml:space="preserve">Increase kindergarten knowledge and access points to refugee families, which will encourage enrolment. </w:t>
            </w:r>
          </w:p>
        </w:tc>
        <w:tc>
          <w:tcPr>
            <w:tcW w:w="1744" w:type="dxa"/>
            <w:shd w:val="clear" w:color="auto" w:fill="auto"/>
          </w:tcPr>
          <w:p w14:paraId="66061885" w14:textId="77777777" w:rsidR="00D41241" w:rsidRPr="00DE19C8" w:rsidRDefault="00D41241" w:rsidP="00B6013D">
            <w:pPr>
              <w:rPr>
                <w:rFonts w:cstheme="minorHAnsi"/>
              </w:rPr>
            </w:pPr>
            <w:r w:rsidRPr="00DE19C8">
              <w:rPr>
                <w:rFonts w:cstheme="minorHAnsi"/>
              </w:rPr>
              <w:t xml:space="preserve">No Evaluation </w:t>
            </w:r>
          </w:p>
          <w:p w14:paraId="12E7810F" w14:textId="77777777" w:rsidR="00D41241" w:rsidRPr="00DE19C8" w:rsidRDefault="00D41241" w:rsidP="00B6013D">
            <w:pPr>
              <w:rPr>
                <w:rFonts w:ascii="Segoe UI Symbol" w:hAnsi="Segoe UI Symbol" w:cs="Segoe UI Symbol"/>
              </w:rPr>
            </w:pPr>
          </w:p>
        </w:tc>
      </w:tr>
      <w:tr w:rsidR="00D41241" w:rsidRPr="00DE19C8" w14:paraId="583623C3" w14:textId="77777777" w:rsidTr="00BB6F4C">
        <w:trPr>
          <w:gridBefore w:val="1"/>
          <w:wBefore w:w="10" w:type="dxa"/>
          <w:trHeight w:val="1769"/>
        </w:trPr>
        <w:tc>
          <w:tcPr>
            <w:tcW w:w="2915" w:type="dxa"/>
            <w:shd w:val="clear" w:color="auto" w:fill="auto"/>
          </w:tcPr>
          <w:p w14:paraId="285AAAF8" w14:textId="77777777" w:rsidR="00D41241" w:rsidRDefault="00D41241" w:rsidP="00B6013D">
            <w:pPr>
              <w:rPr>
                <w:rFonts w:cs="Calibri"/>
                <w:highlight w:val="yellow"/>
              </w:rPr>
            </w:pPr>
            <w:r w:rsidRPr="0010329B">
              <w:rPr>
                <w:rFonts w:cs="Calibri"/>
              </w:rPr>
              <w:t xml:space="preserve">Kindergarten Inclusion Support Program </w:t>
            </w:r>
          </w:p>
        </w:tc>
        <w:tc>
          <w:tcPr>
            <w:tcW w:w="5704" w:type="dxa"/>
            <w:shd w:val="clear" w:color="auto" w:fill="auto"/>
          </w:tcPr>
          <w:p w14:paraId="395DBED1" w14:textId="77777777" w:rsidR="00D41241" w:rsidRPr="008B6A04" w:rsidRDefault="00D41241" w:rsidP="00B6013D">
            <w:r w:rsidRPr="00277096">
              <w:t>This program provides services with capacit</w:t>
            </w:r>
            <w:r>
              <w:t xml:space="preserve">y to meet the needs of children </w:t>
            </w:r>
            <w:r w:rsidRPr="00277096">
              <w:t>with a disability or developmental delay and complex med</w:t>
            </w:r>
            <w:r>
              <w:t xml:space="preserve">ical needs, </w:t>
            </w:r>
            <w:r w:rsidRPr="00277096">
              <w:t>maximising inclusion and participation</w:t>
            </w:r>
            <w:r>
              <w:t xml:space="preserve"> in quality funded kindergarten </w:t>
            </w:r>
            <w:r w:rsidRPr="00277096">
              <w:t>programs. Support can include staff training,</w:t>
            </w:r>
            <w:r>
              <w:t xml:space="preserve"> additional staffing, access to </w:t>
            </w:r>
            <w:r w:rsidRPr="00277096">
              <w:t>specialist expertise and minor building modifications.</w:t>
            </w:r>
          </w:p>
        </w:tc>
        <w:tc>
          <w:tcPr>
            <w:tcW w:w="3802" w:type="dxa"/>
            <w:shd w:val="clear" w:color="auto" w:fill="auto"/>
          </w:tcPr>
          <w:p w14:paraId="5C6E1FC8" w14:textId="77777777" w:rsidR="00D41241" w:rsidRDefault="00D41241" w:rsidP="00B6013D">
            <w:pPr>
              <w:rPr>
                <w:rFonts w:cs="Calibri"/>
              </w:rPr>
            </w:pPr>
            <w:r>
              <w:rPr>
                <w:rFonts w:cs="Calibri"/>
              </w:rPr>
              <w:t>Increase participation and attendance of disabled or developmentally delayed children.</w:t>
            </w:r>
          </w:p>
        </w:tc>
        <w:tc>
          <w:tcPr>
            <w:tcW w:w="1744" w:type="dxa"/>
            <w:shd w:val="clear" w:color="auto" w:fill="auto"/>
          </w:tcPr>
          <w:p w14:paraId="07C61CEB" w14:textId="77777777" w:rsidR="00D41241" w:rsidRPr="00DE19C8" w:rsidRDefault="00D41241" w:rsidP="00B6013D">
            <w:pPr>
              <w:rPr>
                <w:rFonts w:cstheme="minorHAnsi"/>
              </w:rPr>
            </w:pPr>
            <w:r w:rsidRPr="00DE19C8">
              <w:rPr>
                <w:rFonts w:cstheme="minorHAnsi"/>
              </w:rPr>
              <w:t xml:space="preserve">No Evaluation </w:t>
            </w:r>
          </w:p>
          <w:p w14:paraId="56500E01" w14:textId="77777777" w:rsidR="00D41241" w:rsidRPr="00DE19C8" w:rsidRDefault="00D41241" w:rsidP="00B6013D">
            <w:pPr>
              <w:rPr>
                <w:rFonts w:ascii="Segoe UI Symbol" w:hAnsi="Segoe UI Symbol" w:cs="Segoe UI Symbol"/>
              </w:rPr>
            </w:pPr>
          </w:p>
        </w:tc>
      </w:tr>
      <w:tr w:rsidR="00D41241" w:rsidRPr="00DE19C8" w14:paraId="39D54F48" w14:textId="77777777" w:rsidTr="00BB6F4C">
        <w:trPr>
          <w:gridBefore w:val="1"/>
          <w:wBefore w:w="10" w:type="dxa"/>
          <w:trHeight w:val="1338"/>
        </w:trPr>
        <w:tc>
          <w:tcPr>
            <w:tcW w:w="2915" w:type="dxa"/>
            <w:shd w:val="clear" w:color="auto" w:fill="auto"/>
          </w:tcPr>
          <w:p w14:paraId="3006E328" w14:textId="38D73F5F" w:rsidR="00D41241" w:rsidRDefault="00BD38AC" w:rsidP="00B6013D">
            <w:pPr>
              <w:rPr>
                <w:rFonts w:cs="Calibri"/>
                <w:highlight w:val="yellow"/>
              </w:rPr>
            </w:pPr>
            <w:r w:rsidRPr="0010329B">
              <w:rPr>
                <w:rFonts w:cs="Calibri"/>
              </w:rPr>
              <w:t>Pre-school</w:t>
            </w:r>
            <w:r w:rsidR="00D41241" w:rsidRPr="0010329B">
              <w:rPr>
                <w:rFonts w:cs="Calibri"/>
              </w:rPr>
              <w:t xml:space="preserve"> Field Officer Program </w:t>
            </w:r>
          </w:p>
        </w:tc>
        <w:tc>
          <w:tcPr>
            <w:tcW w:w="5704" w:type="dxa"/>
            <w:shd w:val="clear" w:color="auto" w:fill="auto"/>
          </w:tcPr>
          <w:p w14:paraId="13453DEA" w14:textId="77777777" w:rsidR="00D41241" w:rsidRPr="008B6A04" w:rsidRDefault="00D41241" w:rsidP="00B6013D">
            <w:r w:rsidRPr="00C877C2">
              <w:t>This program provides consultancy services through experienced early</w:t>
            </w:r>
            <w:r>
              <w:t xml:space="preserve"> </w:t>
            </w:r>
            <w:r w:rsidRPr="00C877C2">
              <w:t>childhood educators to funded kindergarten program staff to support</w:t>
            </w:r>
            <w:r>
              <w:t xml:space="preserve"> </w:t>
            </w:r>
            <w:r w:rsidRPr="00C877C2">
              <w:t>the access and participation of children with additional needs in inclusive</w:t>
            </w:r>
            <w:r>
              <w:t xml:space="preserve"> </w:t>
            </w:r>
            <w:r w:rsidRPr="00C877C2">
              <w:t>kindergarten programs.</w:t>
            </w:r>
          </w:p>
        </w:tc>
        <w:tc>
          <w:tcPr>
            <w:tcW w:w="3802" w:type="dxa"/>
            <w:shd w:val="clear" w:color="auto" w:fill="auto"/>
          </w:tcPr>
          <w:p w14:paraId="6264FF51" w14:textId="77777777" w:rsidR="00D41241" w:rsidRDefault="00D41241" w:rsidP="00B6013D">
            <w:pPr>
              <w:rPr>
                <w:rFonts w:cs="Calibri"/>
              </w:rPr>
            </w:pPr>
            <w:r>
              <w:rPr>
                <w:rFonts w:cs="Calibri"/>
              </w:rPr>
              <w:t xml:space="preserve">Increase the enrolling and attendance of children with additional needs to kindergarten programs. </w:t>
            </w:r>
          </w:p>
        </w:tc>
        <w:tc>
          <w:tcPr>
            <w:tcW w:w="1744" w:type="dxa"/>
            <w:shd w:val="clear" w:color="auto" w:fill="auto"/>
          </w:tcPr>
          <w:p w14:paraId="57A3A0F0" w14:textId="77777777" w:rsidR="00D41241" w:rsidRPr="00DE19C8" w:rsidRDefault="00D41241" w:rsidP="00B6013D">
            <w:pPr>
              <w:rPr>
                <w:rFonts w:cstheme="minorHAnsi"/>
              </w:rPr>
            </w:pPr>
            <w:r w:rsidRPr="00DE19C8">
              <w:rPr>
                <w:rFonts w:cstheme="minorHAnsi"/>
              </w:rPr>
              <w:t xml:space="preserve">No Evaluation </w:t>
            </w:r>
          </w:p>
          <w:p w14:paraId="3B620136" w14:textId="77777777" w:rsidR="00D41241" w:rsidRPr="00DE19C8" w:rsidRDefault="00D41241" w:rsidP="00B6013D">
            <w:pPr>
              <w:rPr>
                <w:rFonts w:ascii="Segoe UI Symbol" w:hAnsi="Segoe UI Symbol" w:cs="Segoe UI Symbol"/>
              </w:rPr>
            </w:pPr>
          </w:p>
        </w:tc>
      </w:tr>
      <w:tr w:rsidR="00D41241" w:rsidRPr="00DE19C8" w14:paraId="6360353C" w14:textId="77777777" w:rsidTr="00BB6F4C">
        <w:trPr>
          <w:gridBefore w:val="1"/>
          <w:wBefore w:w="10" w:type="dxa"/>
        </w:trPr>
        <w:tc>
          <w:tcPr>
            <w:tcW w:w="2915" w:type="dxa"/>
            <w:shd w:val="clear" w:color="auto" w:fill="auto"/>
          </w:tcPr>
          <w:p w14:paraId="474F4EC1" w14:textId="77777777" w:rsidR="00D41241" w:rsidRDefault="00D41241" w:rsidP="00B6013D">
            <w:pPr>
              <w:rPr>
                <w:rFonts w:cs="Calibri"/>
                <w:highlight w:val="yellow"/>
              </w:rPr>
            </w:pPr>
            <w:r w:rsidRPr="0010329B">
              <w:rPr>
                <w:rFonts w:cs="Calibri"/>
              </w:rPr>
              <w:t xml:space="preserve">Early Years Compact with local Government and </w:t>
            </w:r>
            <w:r w:rsidRPr="006A2C71">
              <w:rPr>
                <w:rFonts w:cs="Calibri"/>
              </w:rPr>
              <w:t>Department of Health and Human Services Victoria</w:t>
            </w:r>
            <w:r>
              <w:rPr>
                <w:rFonts w:cs="Calibri"/>
              </w:rPr>
              <w:t xml:space="preserve"> (DHHS)</w:t>
            </w:r>
          </w:p>
        </w:tc>
        <w:tc>
          <w:tcPr>
            <w:tcW w:w="5704" w:type="dxa"/>
            <w:shd w:val="clear" w:color="auto" w:fill="auto"/>
          </w:tcPr>
          <w:p w14:paraId="67599E1D" w14:textId="3CBDD96A" w:rsidR="00D41241" w:rsidRPr="00A20288" w:rsidRDefault="00D41241" w:rsidP="00B6013D">
            <w:r w:rsidRPr="00A20288">
              <w:t xml:space="preserve">The Compact is a ten-year agreement between the Department, </w:t>
            </w:r>
            <w:r w:rsidRPr="006A2C71">
              <w:t>DHHS and</w:t>
            </w:r>
            <w:r>
              <w:t xml:space="preserve"> </w:t>
            </w:r>
            <w:r w:rsidRPr="00A20288">
              <w:t>local government aimed to support children and families in the early years.</w:t>
            </w:r>
          </w:p>
          <w:p w14:paraId="7413B046" w14:textId="77777777" w:rsidR="00D41241" w:rsidRDefault="00D41241" w:rsidP="00B6013D">
            <w:r w:rsidRPr="00A20288">
              <w:t>The Compact includes meas</w:t>
            </w:r>
            <w:r>
              <w:t xml:space="preserve">urable objectives linked to the </w:t>
            </w:r>
            <w:r w:rsidRPr="00A20288">
              <w:t>Government’s</w:t>
            </w:r>
            <w:r>
              <w:t xml:space="preserve"> </w:t>
            </w:r>
            <w:r w:rsidRPr="00A20288">
              <w:t>broader reform agenda for young children and families, and strengthens</w:t>
            </w:r>
            <w:r>
              <w:t xml:space="preserve"> </w:t>
            </w:r>
            <w:r w:rsidRPr="00A20288">
              <w:t>the collaborative relationship between the three partners in planning,</w:t>
            </w:r>
            <w:r>
              <w:t xml:space="preserve"> </w:t>
            </w:r>
            <w:r w:rsidRPr="00A20288">
              <w:t>development and provision of early years’ services.</w:t>
            </w:r>
          </w:p>
          <w:p w14:paraId="325E634B" w14:textId="77777777" w:rsidR="00D41241" w:rsidRDefault="00D41241" w:rsidP="00B6013D">
            <w:pPr>
              <w:pStyle w:val="ListParagraph"/>
              <w:ind w:left="0"/>
            </w:pPr>
          </w:p>
        </w:tc>
        <w:tc>
          <w:tcPr>
            <w:tcW w:w="3802" w:type="dxa"/>
            <w:shd w:val="clear" w:color="auto" w:fill="auto"/>
          </w:tcPr>
          <w:p w14:paraId="6A140371" w14:textId="77777777" w:rsidR="00D41241" w:rsidRPr="00DE19C8" w:rsidRDefault="00D41241" w:rsidP="00B6013D">
            <w:pPr>
              <w:rPr>
                <w:rFonts w:cs="Calibri"/>
              </w:rPr>
            </w:pPr>
            <w:r>
              <w:rPr>
                <w:rFonts w:cs="Calibri"/>
              </w:rPr>
              <w:t xml:space="preserve">Increase participation and attendance with families involved in said Government agencies. </w:t>
            </w:r>
          </w:p>
        </w:tc>
        <w:tc>
          <w:tcPr>
            <w:tcW w:w="1744" w:type="dxa"/>
            <w:shd w:val="clear" w:color="auto" w:fill="auto"/>
          </w:tcPr>
          <w:p w14:paraId="1CD50608" w14:textId="77777777" w:rsidR="00D41241" w:rsidRPr="00DE19C8" w:rsidRDefault="00D41241" w:rsidP="00B6013D">
            <w:pPr>
              <w:rPr>
                <w:rFonts w:cstheme="minorHAnsi"/>
              </w:rPr>
            </w:pPr>
            <w:r w:rsidRPr="00DE19C8">
              <w:rPr>
                <w:rFonts w:cstheme="minorHAnsi"/>
              </w:rPr>
              <w:t xml:space="preserve">No Evaluation </w:t>
            </w:r>
          </w:p>
          <w:p w14:paraId="33551DAD" w14:textId="77777777" w:rsidR="00D41241" w:rsidRPr="00DE19C8" w:rsidRDefault="00D41241" w:rsidP="00B6013D">
            <w:pPr>
              <w:rPr>
                <w:rFonts w:ascii="Segoe UI Symbol" w:hAnsi="Segoe UI Symbol" w:cs="Segoe UI Symbol"/>
              </w:rPr>
            </w:pPr>
          </w:p>
        </w:tc>
      </w:tr>
    </w:tbl>
    <w:p w14:paraId="4C800AA8" w14:textId="61314B76" w:rsidR="00D41241" w:rsidRDefault="00D41241" w:rsidP="00D41241"/>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5704"/>
        <w:gridCol w:w="3802"/>
        <w:gridCol w:w="1744"/>
      </w:tblGrid>
      <w:tr w:rsidR="00D41241" w:rsidRPr="002B22A8" w14:paraId="1CA8B8F9" w14:textId="77777777" w:rsidTr="00BB6F4C">
        <w:tc>
          <w:tcPr>
            <w:tcW w:w="14175" w:type="dxa"/>
            <w:gridSpan w:val="4"/>
            <w:shd w:val="clear" w:color="auto" w:fill="BFBFBF" w:themeFill="background1" w:themeFillShade="BF"/>
          </w:tcPr>
          <w:p w14:paraId="6725B276" w14:textId="77777777" w:rsidR="00D41241" w:rsidRPr="002B22A8" w:rsidRDefault="00D41241" w:rsidP="00B6013D">
            <w:pPr>
              <w:rPr>
                <w:rFonts w:eastAsia="Times New Roman"/>
                <w:color w:val="000000"/>
                <w:spacing w:val="2"/>
              </w:rPr>
            </w:pPr>
            <w:r>
              <w:rPr>
                <w:b/>
                <w:color w:val="002060"/>
              </w:rPr>
              <w:t>Western Australia</w:t>
            </w:r>
          </w:p>
          <w:p w14:paraId="2C3C3422" w14:textId="77777777" w:rsidR="00D41241" w:rsidRPr="002B22A8" w:rsidRDefault="00D41241" w:rsidP="00B6013D">
            <w:pPr>
              <w:rPr>
                <w:rFonts w:eastAsia="Times New Roman"/>
                <w:color w:val="000000"/>
                <w:spacing w:val="2"/>
              </w:rPr>
            </w:pPr>
          </w:p>
        </w:tc>
      </w:tr>
      <w:tr w:rsidR="00D41241" w:rsidRPr="00961318" w14:paraId="1D7A4EDC" w14:textId="77777777" w:rsidTr="00BB6F4C">
        <w:trPr>
          <w:tblHeader/>
        </w:trPr>
        <w:tc>
          <w:tcPr>
            <w:tcW w:w="2925" w:type="dxa"/>
            <w:tcBorders>
              <w:top w:val="single" w:sz="4" w:space="0" w:color="auto"/>
              <w:left w:val="single" w:sz="4" w:space="0" w:color="auto"/>
            </w:tcBorders>
            <w:shd w:val="clear" w:color="auto" w:fill="auto"/>
          </w:tcPr>
          <w:p w14:paraId="0FCCD9EA" w14:textId="77777777" w:rsidR="00D41241" w:rsidRPr="00961318" w:rsidRDefault="00D41241" w:rsidP="00B6013D">
            <w:pPr>
              <w:rPr>
                <w:b/>
                <w:color w:val="002060"/>
              </w:rPr>
            </w:pPr>
            <w:r w:rsidRPr="00961318">
              <w:rPr>
                <w:b/>
                <w:color w:val="002060"/>
              </w:rPr>
              <w:t>Program or initiative</w:t>
            </w:r>
          </w:p>
        </w:tc>
        <w:tc>
          <w:tcPr>
            <w:tcW w:w="5704" w:type="dxa"/>
            <w:tcBorders>
              <w:top w:val="single" w:sz="4" w:space="0" w:color="auto"/>
            </w:tcBorders>
            <w:shd w:val="clear" w:color="auto" w:fill="auto"/>
          </w:tcPr>
          <w:p w14:paraId="40D094FD" w14:textId="77777777" w:rsidR="00D41241" w:rsidRPr="00961318" w:rsidRDefault="00D41241" w:rsidP="00B6013D">
            <w:pPr>
              <w:rPr>
                <w:b/>
                <w:color w:val="002060"/>
              </w:rPr>
            </w:pPr>
            <w:r>
              <w:rPr>
                <w:b/>
                <w:color w:val="002060"/>
              </w:rPr>
              <w:t xml:space="preserve">Details </w:t>
            </w:r>
          </w:p>
        </w:tc>
        <w:tc>
          <w:tcPr>
            <w:tcW w:w="3802" w:type="dxa"/>
            <w:shd w:val="clear" w:color="auto" w:fill="auto"/>
          </w:tcPr>
          <w:p w14:paraId="1CF0837B" w14:textId="77777777" w:rsidR="00D41241" w:rsidRPr="00961318" w:rsidRDefault="00D41241" w:rsidP="00B6013D">
            <w:pPr>
              <w:rPr>
                <w:b/>
                <w:color w:val="002060"/>
              </w:rPr>
            </w:pPr>
            <w:r w:rsidRPr="00961318">
              <w:rPr>
                <w:b/>
                <w:color w:val="002060"/>
              </w:rPr>
              <w:t>Key drivers</w:t>
            </w:r>
          </w:p>
        </w:tc>
        <w:tc>
          <w:tcPr>
            <w:tcW w:w="1744" w:type="dxa"/>
          </w:tcPr>
          <w:p w14:paraId="51F0C9CB" w14:textId="77777777" w:rsidR="00D41241" w:rsidRPr="00961318" w:rsidRDefault="00D41241" w:rsidP="00B6013D">
            <w:pPr>
              <w:rPr>
                <w:b/>
                <w:color w:val="002060"/>
              </w:rPr>
            </w:pPr>
            <w:r>
              <w:rPr>
                <w:b/>
                <w:color w:val="002060"/>
              </w:rPr>
              <w:t>Evaluation?</w:t>
            </w:r>
          </w:p>
        </w:tc>
      </w:tr>
      <w:tr w:rsidR="00D41241" w:rsidRPr="00DD5F63" w14:paraId="3C83ED0D" w14:textId="77777777" w:rsidTr="00BB6F4C">
        <w:tc>
          <w:tcPr>
            <w:tcW w:w="2925" w:type="dxa"/>
            <w:shd w:val="clear" w:color="auto" w:fill="auto"/>
          </w:tcPr>
          <w:p w14:paraId="783006CA" w14:textId="77777777" w:rsidR="00D41241" w:rsidRPr="005E53E9" w:rsidRDefault="00D41241" w:rsidP="00B6013D">
            <w:pPr>
              <w:rPr>
                <w:i/>
              </w:rPr>
            </w:pPr>
            <w:r w:rsidRPr="005E53E9">
              <w:rPr>
                <w:i/>
              </w:rPr>
              <w:t>KindiLink</w:t>
            </w:r>
          </w:p>
        </w:tc>
        <w:tc>
          <w:tcPr>
            <w:tcW w:w="5704" w:type="dxa"/>
            <w:shd w:val="clear" w:color="auto" w:fill="auto"/>
          </w:tcPr>
          <w:p w14:paraId="65816E6A" w14:textId="16B5B560" w:rsidR="00D41241" w:rsidRPr="00B956FE" w:rsidRDefault="00D41241" w:rsidP="00B6013D">
            <w:r w:rsidRPr="00B956FE">
              <w:t xml:space="preserve">A play and learn initiative for three-year-old Aboriginal children in the year before they start </w:t>
            </w:r>
            <w:r w:rsidR="00A65D8F">
              <w:t>full-time</w:t>
            </w:r>
            <w:r w:rsidRPr="00B956FE">
              <w:t xml:space="preserve"> schooling. Offers high quality play-and-learn sessions for children and their parent/carer at participating schools, at no cost to families. </w:t>
            </w:r>
          </w:p>
        </w:tc>
        <w:tc>
          <w:tcPr>
            <w:tcW w:w="3802" w:type="dxa"/>
            <w:shd w:val="clear" w:color="auto" w:fill="auto"/>
          </w:tcPr>
          <w:p w14:paraId="3175BC3D" w14:textId="77777777" w:rsidR="00D41241" w:rsidRPr="00DD5F63" w:rsidRDefault="00D41241" w:rsidP="00B6013D">
            <w:r w:rsidRPr="00DD5F63">
              <w:t>To improve long-term school attendance and home-school relationships</w:t>
            </w:r>
          </w:p>
        </w:tc>
        <w:tc>
          <w:tcPr>
            <w:tcW w:w="1744" w:type="dxa"/>
            <w:shd w:val="clear" w:color="auto" w:fill="auto"/>
          </w:tcPr>
          <w:p w14:paraId="399EE352" w14:textId="2E2A409F" w:rsidR="00D41241" w:rsidRDefault="00D41241" w:rsidP="00F91E3E">
            <w:r>
              <w:t>Evaluation Completed</w:t>
            </w:r>
            <w:r w:rsidR="00F91E3E">
              <w:t xml:space="preserve"> 2018 by </w:t>
            </w:r>
            <w:r w:rsidRPr="00DD5F63">
              <w:t>Edith Cowan</w:t>
            </w:r>
            <w:r w:rsidR="00F91E3E">
              <w:t xml:space="preserve"> University</w:t>
            </w:r>
          </w:p>
          <w:p w14:paraId="16BBC511" w14:textId="77777777" w:rsidR="00D41241" w:rsidRPr="0008531B" w:rsidRDefault="00D41241" w:rsidP="0008531B">
            <w:pPr>
              <w:ind w:hanging="38"/>
              <w:rPr>
                <w:sz w:val="16"/>
                <w:szCs w:val="16"/>
              </w:rPr>
            </w:pPr>
            <w:r w:rsidRPr="0008531B">
              <w:rPr>
                <w:sz w:val="16"/>
                <w:szCs w:val="16"/>
              </w:rPr>
              <w:t>https://www.education.wa.edu.au/dl/7lpmn3</w:t>
            </w:r>
          </w:p>
        </w:tc>
      </w:tr>
      <w:tr w:rsidR="00D41241" w14:paraId="60B5932B" w14:textId="77777777" w:rsidTr="00BB6F4C">
        <w:tc>
          <w:tcPr>
            <w:tcW w:w="2925" w:type="dxa"/>
            <w:shd w:val="clear" w:color="auto" w:fill="auto"/>
          </w:tcPr>
          <w:p w14:paraId="2C29D754" w14:textId="77777777" w:rsidR="00D41241" w:rsidRPr="005E53E9" w:rsidRDefault="00D41241" w:rsidP="00B6013D">
            <w:pPr>
              <w:rPr>
                <w:i/>
              </w:rPr>
            </w:pPr>
            <w:r>
              <w:rPr>
                <w:i/>
                <w:iCs/>
                <w:color w:val="000000"/>
              </w:rPr>
              <w:t>Enhanced Transition to School project</w:t>
            </w:r>
          </w:p>
        </w:tc>
        <w:tc>
          <w:tcPr>
            <w:tcW w:w="5704" w:type="dxa"/>
            <w:shd w:val="clear" w:color="auto" w:fill="auto"/>
          </w:tcPr>
          <w:p w14:paraId="5C366F8E" w14:textId="77777777" w:rsidR="00D41241" w:rsidRPr="00B21E12" w:rsidRDefault="00D41241" w:rsidP="00B6013D">
            <w:pPr>
              <w:jc w:val="both"/>
              <w:rPr>
                <w:rFonts w:cs="Calibri"/>
              </w:rPr>
            </w:pPr>
            <w:r>
              <w:rPr>
                <w:color w:val="000000"/>
              </w:rPr>
              <w:t xml:space="preserve">A partnership with Playgroup WA and the public, Catholic and non-government school sectors to increase the number of community-based, parent-run playgroups that have links with schools, including (in many cases) using school sites as their venue.  </w:t>
            </w:r>
            <w:r w:rsidRPr="00B21E12">
              <w:rPr>
                <w:color w:val="000000"/>
              </w:rPr>
              <w:t>These initiatives adopt a ‘two-generational’ approach to empower families, forge home- school links and build local networks t</w:t>
            </w:r>
            <w:r>
              <w:rPr>
                <w:color w:val="000000"/>
              </w:rPr>
              <w:t>o optimise children’s learning.</w:t>
            </w:r>
          </w:p>
        </w:tc>
        <w:tc>
          <w:tcPr>
            <w:tcW w:w="3802" w:type="dxa"/>
            <w:shd w:val="clear" w:color="auto" w:fill="auto"/>
          </w:tcPr>
          <w:p w14:paraId="2F6283B6" w14:textId="77777777" w:rsidR="00D41241" w:rsidRPr="00B21E12" w:rsidRDefault="00D41241" w:rsidP="00B6013D">
            <w:pPr>
              <w:rPr>
                <w:rFonts w:cs="Calibri"/>
              </w:rPr>
            </w:pPr>
            <w:r>
              <w:rPr>
                <w:rFonts w:cs="Calibri"/>
              </w:rPr>
              <w:t>Home-school relationships, children’s transition to school collaboration with community, connectedness, early identification of issues.</w:t>
            </w:r>
          </w:p>
        </w:tc>
        <w:tc>
          <w:tcPr>
            <w:tcW w:w="1744" w:type="dxa"/>
            <w:shd w:val="clear" w:color="auto" w:fill="auto"/>
          </w:tcPr>
          <w:p w14:paraId="7163B0E2" w14:textId="5A3BE185" w:rsidR="00D41241" w:rsidRDefault="00F91E3E" w:rsidP="00B6013D">
            <w:r>
              <w:t>Influenced by</w:t>
            </w:r>
            <w:r w:rsidR="00D41241">
              <w:t>:</w:t>
            </w:r>
          </w:p>
          <w:p w14:paraId="1885D127" w14:textId="10372CBF" w:rsidR="00D41241" w:rsidRDefault="00D41241" w:rsidP="00F91E3E">
            <w:r w:rsidRPr="00F951BC">
              <w:t>Gregory, T., Sincovich</w:t>
            </w:r>
            <w:r w:rsidR="00F91E3E">
              <w:t xml:space="preserve"> et al </w:t>
            </w:r>
            <w:r w:rsidRPr="00F951BC">
              <w:t xml:space="preserve">(2017). </w:t>
            </w:r>
            <w:r w:rsidR="009F5879">
              <w:rPr>
                <w:sz w:val="18"/>
                <w:szCs w:val="18"/>
              </w:rPr>
              <w:t xml:space="preserve">The reach of </w:t>
            </w:r>
            <w:r w:rsidRPr="00F82786">
              <w:rPr>
                <w:sz w:val="18"/>
                <w:szCs w:val="18"/>
              </w:rPr>
              <w:t xml:space="preserve">Playgroups across Australia and their benefits for children’s development: A comparison of 2012 and 2015 AEDC data. Telethon Kids Institute, SA.  </w:t>
            </w:r>
            <w:hyperlink r:id="rId52" w:history="1">
              <w:r w:rsidRPr="00F91E3E">
                <w:rPr>
                  <w:rStyle w:val="Hyperlink"/>
                  <w:sz w:val="16"/>
                  <w:szCs w:val="16"/>
                </w:rPr>
                <w:t>https://playgroupaustralia.org.au/resource/impact-of-playgroup-on-child-development/</w:t>
              </w:r>
            </w:hyperlink>
          </w:p>
        </w:tc>
      </w:tr>
      <w:tr w:rsidR="00D41241" w14:paraId="5AD3BD20" w14:textId="77777777" w:rsidTr="00BB6F4C">
        <w:tc>
          <w:tcPr>
            <w:tcW w:w="2925" w:type="dxa"/>
            <w:shd w:val="clear" w:color="auto" w:fill="auto"/>
          </w:tcPr>
          <w:p w14:paraId="30DBB5D5" w14:textId="77777777" w:rsidR="00D41241" w:rsidRPr="00B21E12" w:rsidRDefault="00D41241" w:rsidP="00B6013D">
            <w:pPr>
              <w:rPr>
                <w:rFonts w:cs="Calibri"/>
                <w:i/>
              </w:rPr>
            </w:pPr>
            <w:r w:rsidRPr="00B21E12">
              <w:rPr>
                <w:i/>
              </w:rPr>
              <w:t>Child and Parent Centres</w:t>
            </w:r>
          </w:p>
        </w:tc>
        <w:tc>
          <w:tcPr>
            <w:tcW w:w="5704" w:type="dxa"/>
            <w:shd w:val="clear" w:color="auto" w:fill="auto"/>
          </w:tcPr>
          <w:p w14:paraId="77DB84B7" w14:textId="77777777" w:rsidR="00D41241" w:rsidRDefault="00D41241" w:rsidP="00B6013D">
            <w:pPr>
              <w:rPr>
                <w:color w:val="000000"/>
              </w:rPr>
            </w:pPr>
            <w:r w:rsidRPr="00B21E12">
              <w:rPr>
                <w:color w:val="000000"/>
              </w:rPr>
              <w:t>Centres provide a range of easily accessible programs and services for families, including early learning programs, maternal and child health services, and child support activities. Families can visit the child health nurse at the centre and there may be speech pathologists, physiotherapists and other health professionals</w:t>
            </w:r>
          </w:p>
        </w:tc>
        <w:tc>
          <w:tcPr>
            <w:tcW w:w="3802" w:type="dxa"/>
            <w:shd w:val="clear" w:color="auto" w:fill="auto"/>
          </w:tcPr>
          <w:p w14:paraId="3B7F669A" w14:textId="77777777" w:rsidR="00D41241" w:rsidRDefault="00D41241" w:rsidP="00B6013D">
            <w:pPr>
              <w:rPr>
                <w:rFonts w:cs="Calibri"/>
              </w:rPr>
            </w:pPr>
            <w:r w:rsidRPr="00B21E12">
              <w:rPr>
                <w:rFonts w:cs="Calibri"/>
              </w:rPr>
              <w:t>Access to services for children and families</w:t>
            </w:r>
          </w:p>
        </w:tc>
        <w:tc>
          <w:tcPr>
            <w:tcW w:w="1744" w:type="dxa"/>
            <w:shd w:val="clear" w:color="auto" w:fill="auto"/>
          </w:tcPr>
          <w:p w14:paraId="2C8A1662" w14:textId="6B73D299" w:rsidR="00D41241" w:rsidRDefault="00E52617" w:rsidP="00E52617">
            <w:r>
              <w:t xml:space="preserve">External Evaluation Completed: </w:t>
            </w:r>
          </w:p>
          <w:p w14:paraId="48896AD1" w14:textId="04029E29" w:rsidR="00D41241" w:rsidRPr="00F91E3E" w:rsidRDefault="00BA469C" w:rsidP="00E52617">
            <w:pPr>
              <w:rPr>
                <w:sz w:val="16"/>
                <w:szCs w:val="16"/>
              </w:rPr>
            </w:pPr>
            <w:hyperlink r:id="rId53" w:history="1">
              <w:r w:rsidR="00D41241" w:rsidRPr="00F91E3E">
                <w:rPr>
                  <w:rStyle w:val="Hyperlink"/>
                  <w:sz w:val="16"/>
                  <w:szCs w:val="16"/>
                </w:rPr>
                <w:t>https://www.education.wa.edu.au/dl/ejzg3o</w:t>
              </w:r>
            </w:hyperlink>
          </w:p>
        </w:tc>
      </w:tr>
    </w:tbl>
    <w:p w14:paraId="6C27B2B9" w14:textId="053D6FF1" w:rsidR="00D41241" w:rsidRDefault="00D41241">
      <w:pPr>
        <w:jc w:val="both"/>
        <w:sectPr w:rsidR="00D41241" w:rsidSect="00E37FB3">
          <w:headerReference w:type="default" r:id="rId54"/>
          <w:footerReference w:type="default" r:id="rId55"/>
          <w:pgSz w:w="16840" w:h="11910" w:orient="landscape"/>
          <w:pgMar w:top="1985" w:right="1220" w:bottom="1134" w:left="1220" w:header="557" w:footer="801" w:gutter="0"/>
          <w:cols w:space="720"/>
          <w:docGrid w:linePitch="299"/>
        </w:sectPr>
      </w:pPr>
    </w:p>
    <w:p w14:paraId="415D5A5F" w14:textId="367E9349" w:rsidR="0098332C" w:rsidRDefault="0098332C">
      <w:pPr>
        <w:pStyle w:val="BodyText"/>
        <w:spacing w:before="3"/>
        <w:rPr>
          <w:sz w:val="32"/>
        </w:rPr>
      </w:pPr>
    </w:p>
    <w:p w14:paraId="177B8C1D" w14:textId="1CEF5666" w:rsidR="00CF5436" w:rsidRPr="00CF5436" w:rsidRDefault="00CF5436" w:rsidP="00CF5436">
      <w:pPr>
        <w:pStyle w:val="Heading1"/>
        <w:ind w:left="0"/>
        <w:rPr>
          <w:rFonts w:cs="Times New Roman"/>
          <w:bCs w:val="0"/>
          <w:color w:val="01265B"/>
          <w:lang w:eastAsia="en-US" w:bidi="ar-SA"/>
        </w:rPr>
      </w:pPr>
      <w:bookmarkStart w:id="55" w:name="_Toc75168409"/>
      <w:r w:rsidRPr="00CF5436">
        <w:rPr>
          <w:rFonts w:cs="Times New Roman"/>
          <w:bCs w:val="0"/>
          <w:color w:val="01265B"/>
          <w:lang w:eastAsia="en-US" w:bidi="ar-SA"/>
        </w:rPr>
        <w:t>Part 4: Key Findings</w:t>
      </w:r>
      <w:bookmarkEnd w:id="55"/>
    </w:p>
    <w:p w14:paraId="79BAEF6D" w14:textId="77777777" w:rsidR="00CF5436" w:rsidRPr="00BC73EC" w:rsidRDefault="00CF5436" w:rsidP="00CF5436"/>
    <w:p w14:paraId="13801FF6" w14:textId="77777777" w:rsidR="00CF5436" w:rsidRPr="00A841AB" w:rsidRDefault="00CF5436" w:rsidP="00CF5436">
      <w:pPr>
        <w:rPr>
          <w:rFonts w:cs="Times New Roman"/>
          <w:b/>
          <w:color w:val="002060"/>
        </w:rPr>
      </w:pPr>
      <w:r w:rsidRPr="00A841AB">
        <w:rPr>
          <w:rFonts w:cs="Times New Roman"/>
          <w:b/>
          <w:color w:val="002060"/>
        </w:rPr>
        <w:t>What works?  What makes a difference?</w:t>
      </w:r>
    </w:p>
    <w:p w14:paraId="3556E17B" w14:textId="77777777" w:rsidR="00CF5436" w:rsidRDefault="00CF5436" w:rsidP="00CF5436">
      <w:pPr>
        <w:jc w:val="both"/>
      </w:pPr>
      <w:r>
        <w:t>Research has identified a range of best practice approaches for engaging and retaining vulnerable families in early childhood education and care. These include:</w:t>
      </w:r>
    </w:p>
    <w:p w14:paraId="6114FF9A" w14:textId="77777777" w:rsidR="00CF5436" w:rsidRDefault="00CF5436" w:rsidP="00CF5436">
      <w:pPr>
        <w:pStyle w:val="ListParagraph"/>
        <w:widowControl/>
        <w:numPr>
          <w:ilvl w:val="0"/>
          <w:numId w:val="16"/>
        </w:numPr>
        <w:autoSpaceDE/>
        <w:autoSpaceDN/>
        <w:contextualSpacing/>
        <w:jc w:val="left"/>
      </w:pPr>
      <w:r>
        <w:t>Strengths based approaches</w:t>
      </w:r>
    </w:p>
    <w:p w14:paraId="7D9EA191" w14:textId="77777777" w:rsidR="00CF5436" w:rsidRDefault="00CF5436" w:rsidP="00CF5436">
      <w:pPr>
        <w:pStyle w:val="ListParagraph"/>
        <w:widowControl/>
        <w:numPr>
          <w:ilvl w:val="0"/>
          <w:numId w:val="16"/>
        </w:numPr>
        <w:autoSpaceDE/>
        <w:autoSpaceDN/>
        <w:contextualSpacing/>
        <w:jc w:val="left"/>
      </w:pPr>
      <w:r>
        <w:t>Solution focused approaches</w:t>
      </w:r>
    </w:p>
    <w:p w14:paraId="49A923B9" w14:textId="77777777" w:rsidR="00CF5436" w:rsidRDefault="00CF5436" w:rsidP="00CF5436">
      <w:pPr>
        <w:pStyle w:val="ListParagraph"/>
        <w:widowControl/>
        <w:numPr>
          <w:ilvl w:val="0"/>
          <w:numId w:val="16"/>
        </w:numPr>
        <w:autoSpaceDE/>
        <w:autoSpaceDN/>
        <w:contextualSpacing/>
        <w:jc w:val="left"/>
      </w:pPr>
      <w:r>
        <w:t>Family centred practice</w:t>
      </w:r>
    </w:p>
    <w:p w14:paraId="78CC4758" w14:textId="77777777" w:rsidR="00CF5436" w:rsidRDefault="00CF5436" w:rsidP="00CF5436">
      <w:pPr>
        <w:pStyle w:val="ListParagraph"/>
        <w:widowControl/>
        <w:numPr>
          <w:ilvl w:val="0"/>
          <w:numId w:val="16"/>
        </w:numPr>
        <w:autoSpaceDE/>
        <w:autoSpaceDN/>
        <w:contextualSpacing/>
        <w:jc w:val="left"/>
      </w:pPr>
      <w:r>
        <w:t>Culturally responsive and culturally safe delivery</w:t>
      </w:r>
    </w:p>
    <w:p w14:paraId="4FDA04B0" w14:textId="77777777" w:rsidR="00CF5436" w:rsidRDefault="00CF5436" w:rsidP="00CF5436">
      <w:pPr>
        <w:pStyle w:val="ListParagraph"/>
        <w:widowControl/>
        <w:numPr>
          <w:ilvl w:val="0"/>
          <w:numId w:val="16"/>
        </w:numPr>
        <w:autoSpaceDE/>
        <w:autoSpaceDN/>
        <w:contextualSpacing/>
        <w:jc w:val="left"/>
      </w:pPr>
      <w:r>
        <w:t>Relationship based practice</w:t>
      </w:r>
    </w:p>
    <w:p w14:paraId="79F2A861" w14:textId="77777777" w:rsidR="00CF5436" w:rsidRPr="00A8359D" w:rsidRDefault="00CF5436" w:rsidP="00CF5436">
      <w:pPr>
        <w:pStyle w:val="ListParagraph"/>
        <w:widowControl/>
        <w:numPr>
          <w:ilvl w:val="0"/>
          <w:numId w:val="16"/>
        </w:numPr>
        <w:autoSpaceDE/>
        <w:autoSpaceDN/>
        <w:contextualSpacing/>
        <w:jc w:val="left"/>
      </w:pPr>
      <w:r>
        <w:t>Accessible and family-friendly environments.</w:t>
      </w:r>
      <w:r>
        <w:br/>
        <w:t xml:space="preserve">(O’Connell et al 2016). </w:t>
      </w:r>
    </w:p>
    <w:p w14:paraId="57A89490" w14:textId="77777777" w:rsidR="0098332C" w:rsidRDefault="0098332C">
      <w:pPr>
        <w:pStyle w:val="BodyText"/>
        <w:spacing w:before="10"/>
        <w:rPr>
          <w:sz w:val="21"/>
        </w:rPr>
      </w:pPr>
    </w:p>
    <w:p w14:paraId="79584C73" w14:textId="77777777" w:rsidR="0098332C" w:rsidRDefault="002C2810">
      <w:pPr>
        <w:pStyle w:val="BodyText"/>
        <w:ind w:left="100" w:right="120"/>
        <w:jc w:val="both"/>
      </w:pPr>
      <w:r>
        <w:t>Research with disadvantaged families (Grace et al, 2014) points to the importance of relationships as a key facilitator to engagement, noting that this applies to the relationships of both children and parents with early childhood centre</w:t>
      </w:r>
      <w:r>
        <w:rPr>
          <w:spacing w:val="-6"/>
        </w:rPr>
        <w:t xml:space="preserve"> </w:t>
      </w:r>
      <w:r>
        <w:t>staff.</w:t>
      </w:r>
    </w:p>
    <w:p w14:paraId="4B79C672" w14:textId="77777777" w:rsidR="0098332C" w:rsidRDefault="0098332C">
      <w:pPr>
        <w:pStyle w:val="BodyText"/>
        <w:spacing w:before="1"/>
      </w:pPr>
    </w:p>
    <w:p w14:paraId="19BEE832" w14:textId="77777777" w:rsidR="0098332C" w:rsidRDefault="002C2810">
      <w:pPr>
        <w:pStyle w:val="BodyText"/>
        <w:spacing w:before="1"/>
        <w:ind w:left="100" w:right="114"/>
        <w:jc w:val="both"/>
      </w:pPr>
      <w:r>
        <w:t>This is further emphasised by a meta-analysis (Boag-Munroe &amp; Evangelou, 2012), which noted that “one message above all stands out: services need to build relationships of trust with families and with each other” (p. 234). In this context, they suggest that services may need to address their staff gender mix, interactive style and ‘principles of trust, authority and negotiation’ (citing Katz et al 2007).</w:t>
      </w:r>
    </w:p>
    <w:p w14:paraId="4BDE8567" w14:textId="77777777" w:rsidR="0098332C" w:rsidRDefault="0098332C">
      <w:pPr>
        <w:pStyle w:val="BodyText"/>
        <w:rPr>
          <w:sz w:val="20"/>
        </w:rPr>
      </w:pPr>
    </w:p>
    <w:p w14:paraId="32B0A5F2" w14:textId="77777777" w:rsidR="0098332C" w:rsidRDefault="002C2810">
      <w:pPr>
        <w:pStyle w:val="BodyText"/>
        <w:ind w:left="100" w:right="115"/>
        <w:jc w:val="both"/>
      </w:pPr>
      <w:r>
        <w:t>Part 1 of this report noted the importance of safety, including cultural safety, in shaping a parent or carer’s decision to engage with a preschool. AIHW (2015) identifies that there is an increased uptake of early learning programs by Indigenous families when in a context of community partnerships, culturally relevant practices that value local Indigenous knowledge and appropriate teacher training. Similarly, Early Childhood Australia (2017) emphasises that literature shows the importance of early childhood services that are culturally affirming and which build a positive cultural identity and improve outcomes (citing Kitson &amp; Bowes, 2010; SNAICC, 2004; and Trudgett &amp; Grace, 2011).</w:t>
      </w:r>
    </w:p>
    <w:p w14:paraId="3DDB1379" w14:textId="77777777" w:rsidR="0098332C" w:rsidRDefault="0098332C">
      <w:pPr>
        <w:pStyle w:val="BodyText"/>
        <w:rPr>
          <w:sz w:val="20"/>
        </w:rPr>
      </w:pPr>
    </w:p>
    <w:p w14:paraId="1886EBA4" w14:textId="77777777" w:rsidR="0098332C" w:rsidRDefault="002C2810">
      <w:pPr>
        <w:pStyle w:val="BodyText"/>
        <w:ind w:left="100" w:right="114"/>
        <w:jc w:val="both"/>
      </w:pPr>
      <w:r>
        <w:t>Grace et al (2014) identified that co-location and integrated service provision are an important facilitator for disadvantaged families. Katz et al (2007 cited in Boag-Munroe &amp; Evangelou, 2012) similarly draw attention to the importance of the premises and what they say about the service, service culture, how parents are consulted and targeted and how services are coordinated.</w:t>
      </w:r>
    </w:p>
    <w:p w14:paraId="0B0AAE86" w14:textId="77777777" w:rsidR="0098332C" w:rsidRDefault="0098332C">
      <w:pPr>
        <w:pStyle w:val="BodyText"/>
        <w:spacing w:before="10"/>
        <w:rPr>
          <w:sz w:val="21"/>
        </w:rPr>
      </w:pPr>
    </w:p>
    <w:p w14:paraId="33D60A25" w14:textId="77777777" w:rsidR="0098332C" w:rsidRDefault="002C2810">
      <w:pPr>
        <w:pStyle w:val="BodyText"/>
        <w:spacing w:before="1"/>
        <w:ind w:left="100" w:right="120"/>
        <w:jc w:val="both"/>
      </w:pPr>
      <w:r>
        <w:t>Boag-Munroe &amp; Evangelou (2012) reinforce the need for services to be alert to the complexity of reasons why families are not engaging and take responsibility for reaching out to them in innovative ways, using new technologies where appropriate.</w:t>
      </w:r>
    </w:p>
    <w:p w14:paraId="35500183" w14:textId="77777777" w:rsidR="0098332C" w:rsidRDefault="0098332C">
      <w:pPr>
        <w:pStyle w:val="BodyText"/>
        <w:spacing w:before="2"/>
        <w:rPr>
          <w:sz w:val="20"/>
        </w:rPr>
      </w:pPr>
    </w:p>
    <w:p w14:paraId="65A131AA" w14:textId="77777777" w:rsidR="00D464BF" w:rsidRDefault="002C2810" w:rsidP="00D464BF">
      <w:pPr>
        <w:pStyle w:val="BodyText"/>
        <w:ind w:left="100" w:right="116"/>
        <w:jc w:val="both"/>
      </w:pPr>
      <w:r>
        <w:t>AIHW (2015) also notes that disadvantaged children benefit particularly from high quality preschool provision and benefit more in socially mixed groups.</w:t>
      </w:r>
      <w:bookmarkStart w:id="56" w:name="_Toc27585814"/>
      <w:bookmarkStart w:id="57" w:name="_Toc27588229"/>
    </w:p>
    <w:p w14:paraId="08A2E99D" w14:textId="77777777" w:rsidR="00D464BF" w:rsidRDefault="00D464BF" w:rsidP="00D464BF">
      <w:pPr>
        <w:pStyle w:val="BodyText"/>
        <w:ind w:left="100" w:right="116"/>
        <w:jc w:val="both"/>
      </w:pPr>
    </w:p>
    <w:p w14:paraId="48D18065" w14:textId="74EC2807" w:rsidR="0098332C" w:rsidRPr="00D464BF" w:rsidRDefault="002C2810" w:rsidP="00D464BF">
      <w:pPr>
        <w:pStyle w:val="Heading2"/>
        <w:ind w:left="100"/>
      </w:pPr>
      <w:bookmarkStart w:id="58" w:name="_Toc75168410"/>
      <w:r w:rsidRPr="00D464BF">
        <w:t>Challenges to understanding children’s participation and what works</w:t>
      </w:r>
      <w:bookmarkEnd w:id="56"/>
      <w:bookmarkEnd w:id="57"/>
      <w:bookmarkEnd w:id="58"/>
    </w:p>
    <w:p w14:paraId="07554B84" w14:textId="55E34173" w:rsidR="0098332C" w:rsidRDefault="00CF5436" w:rsidP="00316F55">
      <w:pPr>
        <w:pStyle w:val="BodyText"/>
        <w:spacing w:before="1"/>
        <w:ind w:left="100" w:right="111"/>
        <w:jc w:val="both"/>
      </w:pPr>
      <w:r>
        <w:t>There</w:t>
      </w:r>
      <w:r w:rsidR="002C2810">
        <w:t xml:space="preserve"> are a range of challenges </w:t>
      </w:r>
      <w:r w:rsidR="00AF5455">
        <w:t xml:space="preserve">as noted earlier in this report, </w:t>
      </w:r>
      <w:r w:rsidR="002C2810">
        <w:t xml:space="preserve">with the current measure and collection of attendance data, with some work underway to address this. The current ABS preschool </w:t>
      </w:r>
      <w:r w:rsidR="00316F55">
        <w:t>data Collection</w:t>
      </w:r>
      <w:r w:rsidR="002C2810">
        <w:t xml:space="preserve"> is predicated on the child attending preschool for one hour during the annual census week, so long as the program is delivered for at least 600 hours per year. This is a </w:t>
      </w:r>
      <w:r w:rsidR="00765CCB">
        <w:t xml:space="preserve">limited </w:t>
      </w:r>
      <w:r w:rsidR="002C2810">
        <w:t xml:space="preserve">measure and does not accurately reflect whether a child is attending preschool enough to truly benefit. </w:t>
      </w:r>
      <w:r w:rsidR="00316F55">
        <w:t>A</w:t>
      </w:r>
      <w:r w:rsidR="002C2810">
        <w:t>ttendance data in preschool is often patchy and open to multiple interpretations, so it is not always clear how many children are attending or for how long.</w:t>
      </w:r>
    </w:p>
    <w:p w14:paraId="0A52B9E3" w14:textId="77777777" w:rsidR="009F5879" w:rsidRDefault="009F5879" w:rsidP="00316F55">
      <w:pPr>
        <w:pStyle w:val="BodyText"/>
        <w:spacing w:before="1"/>
        <w:ind w:left="100" w:right="111"/>
        <w:jc w:val="both"/>
      </w:pPr>
    </w:p>
    <w:p w14:paraId="6E3EB196" w14:textId="77777777" w:rsidR="0098332C" w:rsidRDefault="0098332C">
      <w:pPr>
        <w:pStyle w:val="BodyText"/>
        <w:spacing w:before="1"/>
      </w:pPr>
    </w:p>
    <w:p w14:paraId="762FAEE4" w14:textId="1AD9C9A5" w:rsidR="0098332C" w:rsidRDefault="002C2810">
      <w:pPr>
        <w:pStyle w:val="BodyText"/>
        <w:ind w:left="100" w:right="116"/>
        <w:jc w:val="both"/>
      </w:pPr>
      <w:r>
        <w:t>Further, as noted in Part 3 of this report, there are a wide range of initiatives for preschool children. However, as Tables 7 and 8 show, many of these initiatives have not been evaluated and program evaluations are not always undertaken systematically and rigorously, or shared broadly (Pascoe &amp; Brennan, 2017). There is no overarching evaluation framework and no system</w:t>
      </w:r>
      <w:r w:rsidR="00316F55">
        <w:t>at</w:t>
      </w:r>
      <w:r>
        <w:t>ic sharing of good practice, such as jurisdictions and services sharing their knowledge about what does and does not work. In combination this limits the impact that preschool programs can have with children, particularly those who are more vulnerable.</w:t>
      </w:r>
    </w:p>
    <w:p w14:paraId="1E555425" w14:textId="77777777" w:rsidR="0098332C" w:rsidRDefault="0098332C">
      <w:pPr>
        <w:pStyle w:val="BodyText"/>
        <w:spacing w:before="1"/>
        <w:rPr>
          <w:sz w:val="31"/>
        </w:rPr>
      </w:pPr>
    </w:p>
    <w:p w14:paraId="4A89D7E6" w14:textId="4AC1DEC9" w:rsidR="0098332C" w:rsidRDefault="002C2810">
      <w:pPr>
        <w:pStyle w:val="Heading3"/>
        <w:ind w:left="100"/>
        <w:jc w:val="left"/>
      </w:pPr>
      <w:bookmarkStart w:id="59" w:name="_Toc27585815"/>
      <w:bookmarkStart w:id="60" w:name="_Toc27588230"/>
      <w:bookmarkStart w:id="61" w:name="_Toc75168411"/>
      <w:r>
        <w:rPr>
          <w:color w:val="001F5F"/>
        </w:rPr>
        <w:t>Conclusion</w:t>
      </w:r>
      <w:bookmarkEnd w:id="59"/>
      <w:bookmarkEnd w:id="60"/>
      <w:bookmarkEnd w:id="61"/>
    </w:p>
    <w:p w14:paraId="252C5ED5" w14:textId="77777777" w:rsidR="0098332C" w:rsidRPr="000774D2" w:rsidRDefault="002C2810" w:rsidP="000774D2">
      <w:pPr>
        <w:pStyle w:val="BodyText"/>
        <w:spacing w:before="2"/>
        <w:ind w:left="100" w:right="113"/>
        <w:jc w:val="both"/>
      </w:pPr>
      <w:r w:rsidRPr="000774D2">
        <w:t>There is strong Australian and international evidence on the benefits of participation in quality early childhood education and care, particularly in the year before school. There is also a range of evidence that indicates that vulnerable children in particular benefit from participation, especially when it is of a duration of two years or</w:t>
      </w:r>
      <w:r w:rsidRPr="000774D2">
        <w:rPr>
          <w:spacing w:val="-5"/>
        </w:rPr>
        <w:t xml:space="preserve"> </w:t>
      </w:r>
      <w:r w:rsidRPr="000774D2">
        <w:t>more.</w:t>
      </w:r>
    </w:p>
    <w:p w14:paraId="323EE7C6" w14:textId="77777777" w:rsidR="0098332C" w:rsidRPr="000774D2" w:rsidRDefault="0098332C" w:rsidP="000774D2">
      <w:pPr>
        <w:pStyle w:val="BodyText"/>
        <w:spacing w:before="11"/>
        <w:ind w:left="620"/>
        <w:rPr>
          <w:sz w:val="20"/>
        </w:rPr>
      </w:pPr>
    </w:p>
    <w:p w14:paraId="324E5AF7" w14:textId="7058B516" w:rsidR="0098332C" w:rsidRPr="000774D2" w:rsidRDefault="002C2810" w:rsidP="000774D2">
      <w:pPr>
        <w:pStyle w:val="BodyText"/>
        <w:ind w:left="100" w:right="114"/>
        <w:jc w:val="both"/>
      </w:pPr>
      <w:r w:rsidRPr="000774D2">
        <w:t xml:space="preserve">Over the last decade or so there has been a significant increase in the enrolment of children in preschool in Australia, particularly in the year before </w:t>
      </w:r>
      <w:r w:rsidR="00A65D8F" w:rsidRPr="000774D2">
        <w:t>full-time</w:t>
      </w:r>
      <w:r w:rsidRPr="000774D2">
        <w:t xml:space="preserve"> school. This includes for many vulnerable groups of children, such as those from low socioeconomic backgrounds and Aboriginal and Torres Strait Islander children.</w:t>
      </w:r>
    </w:p>
    <w:p w14:paraId="03048CE0" w14:textId="77777777" w:rsidR="0098332C" w:rsidRPr="000774D2" w:rsidRDefault="0098332C" w:rsidP="000774D2">
      <w:pPr>
        <w:pStyle w:val="BodyText"/>
        <w:ind w:left="620"/>
      </w:pPr>
    </w:p>
    <w:p w14:paraId="609D2A5D" w14:textId="78A9EE12" w:rsidR="0098332C" w:rsidRPr="000774D2" w:rsidRDefault="002C2810" w:rsidP="000774D2">
      <w:pPr>
        <w:pStyle w:val="BodyText"/>
        <w:ind w:left="100" w:right="121"/>
        <w:jc w:val="both"/>
      </w:pPr>
      <w:r w:rsidRPr="000774D2">
        <w:t>However, attendance rates at the level of 600 hours or more a year, remain a challenge for significant proportions of all groups of children, particularly those from vulnerable backgrounds.</w:t>
      </w:r>
    </w:p>
    <w:p w14:paraId="2A1F0F6B" w14:textId="0F8F349C" w:rsidR="00CF5436" w:rsidRPr="000774D2" w:rsidRDefault="00CF5436" w:rsidP="000774D2">
      <w:pPr>
        <w:pStyle w:val="BodyText"/>
        <w:ind w:left="720" w:right="121"/>
        <w:jc w:val="both"/>
      </w:pPr>
    </w:p>
    <w:p w14:paraId="1B9A5F80" w14:textId="54C946BF" w:rsidR="00D464BF" w:rsidRDefault="00CF5436" w:rsidP="00D464BF">
      <w:pPr>
        <w:ind w:left="100"/>
        <w:jc w:val="both"/>
      </w:pPr>
      <w:r w:rsidRPr="000774D2">
        <w:t>The absence of an overarching, consistent evaluation framework means that information about current initiatives and their evaluations is not strategically used to foster innovation and the development of evidence based policy.  This may be driven in part by the complexity of the Australian preschool context, but nevertheless represents a significant missed opportunity as it currently does not appear to be possible to clearly define what works for whom in what circumstances.</w:t>
      </w:r>
    </w:p>
    <w:p w14:paraId="48ABF6A9" w14:textId="77777777" w:rsidR="00D464BF" w:rsidRDefault="00D464BF" w:rsidP="00D464BF">
      <w:pPr>
        <w:ind w:left="100"/>
        <w:jc w:val="both"/>
        <w:rPr>
          <w:color w:val="002060"/>
        </w:rPr>
      </w:pPr>
    </w:p>
    <w:p w14:paraId="33A9B39B" w14:textId="4BB5E18B" w:rsidR="00CF5436" w:rsidRPr="00D464BF" w:rsidRDefault="00CF5436" w:rsidP="00D464BF">
      <w:pPr>
        <w:ind w:left="100"/>
        <w:jc w:val="both"/>
        <w:rPr>
          <w:color w:val="002060"/>
        </w:rPr>
      </w:pPr>
      <w:r>
        <w:t xml:space="preserve">The </w:t>
      </w:r>
      <w:r w:rsidR="004D2ABF">
        <w:t>Project</w:t>
      </w:r>
      <w:r>
        <w:t xml:space="preserve"> </w:t>
      </w:r>
      <w:r w:rsidRPr="00316F55">
        <w:t>recommends:</w:t>
      </w:r>
    </w:p>
    <w:p w14:paraId="105C0C17" w14:textId="77777777" w:rsidR="00CF5436" w:rsidRDefault="00CF5436" w:rsidP="000774D2">
      <w:pPr>
        <w:ind w:left="142"/>
        <w:jc w:val="both"/>
      </w:pPr>
    </w:p>
    <w:p w14:paraId="36488C79" w14:textId="602AC5F6" w:rsidR="00CF5436" w:rsidRDefault="00CF5436" w:rsidP="00F91E3E">
      <w:pPr>
        <w:ind w:left="720"/>
        <w:jc w:val="both"/>
      </w:pPr>
      <w:r>
        <w:t xml:space="preserve">That jurisdictions work together to strengthen data on preschool participation to provide better insight into which children are missing out, and to support policy makers better target programs within the universal offering to those children </w:t>
      </w:r>
      <w:r w:rsidR="00AF5455">
        <w:t>who</w:t>
      </w:r>
      <w:r>
        <w:t xml:space="preserve"> stand to gain the most from preschool.</w:t>
      </w:r>
    </w:p>
    <w:p w14:paraId="1841C7B0" w14:textId="77777777" w:rsidR="00CF5436" w:rsidRDefault="00CF5436" w:rsidP="000774D2">
      <w:pPr>
        <w:ind w:left="142"/>
        <w:jc w:val="both"/>
      </w:pPr>
    </w:p>
    <w:p w14:paraId="2E967A96" w14:textId="77777777" w:rsidR="00CF5436" w:rsidRDefault="00CF5436" w:rsidP="00F91E3E">
      <w:pPr>
        <w:ind w:left="720"/>
        <w:jc w:val="both"/>
      </w:pPr>
      <w:r>
        <w:t>That jurisdictions consider developing an evaluation framework to ensure that promising practice and evidence is shared quickly to support improvements in preschool policy and support programs.</w:t>
      </w:r>
    </w:p>
    <w:p w14:paraId="03E1EC76" w14:textId="16038A98" w:rsidR="00CF5436" w:rsidRDefault="00CF5436" w:rsidP="000774D2">
      <w:pPr>
        <w:pStyle w:val="BodyText"/>
        <w:ind w:left="142" w:right="121"/>
        <w:jc w:val="both"/>
      </w:pPr>
    </w:p>
    <w:p w14:paraId="6CE571E7" w14:textId="362BA1A6" w:rsidR="0098332C" w:rsidRDefault="00CF5436" w:rsidP="00D464BF">
      <w:pPr>
        <w:ind w:left="142"/>
        <w:jc w:val="both"/>
        <w:sectPr w:rsidR="0098332C">
          <w:headerReference w:type="default" r:id="rId56"/>
          <w:footerReference w:type="default" r:id="rId57"/>
          <w:pgSz w:w="11910" w:h="16840"/>
          <w:pgMar w:top="1700" w:right="1320" w:bottom="920" w:left="1340" w:header="567" w:footer="730" w:gutter="0"/>
          <w:cols w:space="720"/>
        </w:sectPr>
      </w:pPr>
      <w:r>
        <w:t xml:space="preserve">There has been some research with vulnerable families to better understand their barriers to participation and what might support them to participate at higher levels. Some of this research importantly highlights the need to rethink how the motivations of ‘hard to reach’ families are interpreted. However, Australian research with families from disadvantaged backgrounds is limited and the consultations with families and their communities which form the core part of this Project, will allow us to hear firsthand the barriers that they face in engaging with preschool and significantly contribute to this understanding.   </w:t>
      </w:r>
    </w:p>
    <w:p w14:paraId="394FAAF9" w14:textId="77777777" w:rsidR="0098332C" w:rsidRDefault="0098332C">
      <w:pPr>
        <w:pStyle w:val="BodyText"/>
        <w:spacing w:before="5"/>
        <w:rPr>
          <w:sz w:val="11"/>
        </w:rPr>
      </w:pPr>
    </w:p>
    <w:p w14:paraId="4C759202" w14:textId="77777777" w:rsidR="00C93294" w:rsidRPr="00C93294" w:rsidRDefault="00C93294" w:rsidP="00C93294">
      <w:pPr>
        <w:spacing w:before="92"/>
        <w:ind w:left="260"/>
        <w:outlineLvl w:val="0"/>
        <w:rPr>
          <w:b/>
          <w:bCs/>
          <w:color w:val="001F5F"/>
          <w:sz w:val="28"/>
          <w:szCs w:val="28"/>
        </w:rPr>
      </w:pPr>
      <w:bookmarkStart w:id="62" w:name="_Toc75168412"/>
      <w:r w:rsidRPr="00C93294">
        <w:rPr>
          <w:b/>
          <w:bCs/>
          <w:color w:val="001F5F"/>
          <w:sz w:val="28"/>
          <w:szCs w:val="28"/>
        </w:rPr>
        <w:t>Bibliography</w:t>
      </w:r>
      <w:bookmarkEnd w:id="62"/>
    </w:p>
    <w:p w14:paraId="556F3D14" w14:textId="77777777" w:rsidR="00C93294" w:rsidRPr="00C93294" w:rsidRDefault="00C93294" w:rsidP="00C93294">
      <w:pPr>
        <w:spacing w:before="3"/>
        <w:rPr>
          <w:sz w:val="31"/>
        </w:rPr>
      </w:pPr>
    </w:p>
    <w:p w14:paraId="278706C1" w14:textId="4201AD5A" w:rsidR="00C93294" w:rsidRPr="00C93294" w:rsidRDefault="00C93294" w:rsidP="00322BF4">
      <w:pPr>
        <w:spacing w:before="55" w:line="276" w:lineRule="auto"/>
        <w:ind w:left="100" w:right="462"/>
        <w:rPr>
          <w:color w:val="000000" w:themeColor="text1"/>
        </w:rPr>
      </w:pPr>
      <w:r w:rsidRPr="00C93294">
        <w:t xml:space="preserve">ABS (Australian Bureau of Statistics) (2019) </w:t>
      </w:r>
      <w:r w:rsidRPr="00C93294">
        <w:rPr>
          <w:i/>
        </w:rPr>
        <w:t>Preschool education Australia, 2018</w:t>
      </w:r>
      <w:r w:rsidRPr="00C93294">
        <w:t xml:space="preserve">, </w:t>
      </w:r>
      <w:hyperlink r:id="rId58" w:history="1">
        <w:r w:rsidR="00745629" w:rsidRPr="007C4AFE">
          <w:rPr>
            <w:rStyle w:val="Hyperlink"/>
            <w:w w:val="95"/>
            <w:u w:color="944F71"/>
          </w:rPr>
          <w:t>https://www.abs.gov.au/AUSSTATS/abs@.nsf/Lookup/4240.0Explanatory%20Notes12018?OpenDo</w:t>
        </w:r>
        <w:r w:rsidR="00745629" w:rsidRPr="00745629">
          <w:rPr>
            <w:rStyle w:val="Hyperlink"/>
            <w:w w:val="95"/>
            <w:u w:color="944F71"/>
          </w:rPr>
          <w:t>c</w:t>
        </w:r>
        <w:r w:rsidR="00745629" w:rsidRPr="00745629">
          <w:rPr>
            <w:rStyle w:val="Hyperlink"/>
            <w:w w:val="95"/>
          </w:rPr>
          <w:t>ument</w:t>
        </w:r>
      </w:hyperlink>
      <w:r w:rsidR="00745629">
        <w:rPr>
          <w:color w:val="000000" w:themeColor="text1"/>
          <w:w w:val="95"/>
        </w:rPr>
        <w:t xml:space="preserve"> </w:t>
      </w:r>
      <w:r w:rsidRPr="00C93294">
        <w:rPr>
          <w:color w:val="000000" w:themeColor="text1"/>
        </w:rPr>
        <w:t>viewed 20 August 2019.</w:t>
      </w:r>
    </w:p>
    <w:p w14:paraId="021ACF77" w14:textId="77777777" w:rsidR="00C93294" w:rsidRPr="00C93294" w:rsidRDefault="00C93294" w:rsidP="00322BF4">
      <w:pPr>
        <w:spacing w:before="59" w:line="276" w:lineRule="auto"/>
        <w:ind w:firstLine="100"/>
        <w:rPr>
          <w:i/>
          <w:color w:val="000000" w:themeColor="text1"/>
        </w:rPr>
      </w:pPr>
      <w:r w:rsidRPr="00C93294">
        <w:rPr>
          <w:color w:val="000000" w:themeColor="text1"/>
        </w:rPr>
        <w:t xml:space="preserve">ABS (2018) </w:t>
      </w:r>
      <w:r w:rsidRPr="00C93294">
        <w:rPr>
          <w:i/>
          <w:color w:val="000000" w:themeColor="text1"/>
        </w:rPr>
        <w:t>Preschool education Australia, 2017</w:t>
      </w:r>
    </w:p>
    <w:p w14:paraId="6231CAB3" w14:textId="46076D44" w:rsidR="00C93294" w:rsidRPr="00C93294" w:rsidRDefault="00BA469C" w:rsidP="00322BF4">
      <w:pPr>
        <w:spacing w:before="2" w:line="276" w:lineRule="auto"/>
        <w:ind w:left="100"/>
        <w:rPr>
          <w:color w:val="000000" w:themeColor="text1"/>
        </w:rPr>
      </w:pPr>
      <w:hyperlink r:id="rId59">
        <w:r w:rsidR="00C93294" w:rsidRPr="00C93294">
          <w:rPr>
            <w:color w:val="000000" w:themeColor="text1"/>
            <w:u w:val="single" w:color="944F71"/>
          </w:rPr>
          <w:t>https://www.abs.gov.au/AUSSTATS/abs@.nsf/DetailsPage/4240.02017?OpenDocument</w:t>
        </w:r>
      </w:hyperlink>
      <w:r w:rsidR="00C93294">
        <w:rPr>
          <w:color w:val="000000" w:themeColor="text1"/>
          <w:u w:val="single" w:color="944F71"/>
        </w:rPr>
        <w:t xml:space="preserve"> </w:t>
      </w:r>
      <w:r w:rsidR="00C93294" w:rsidRPr="00C93294">
        <w:rPr>
          <w:color w:val="000000" w:themeColor="text1"/>
        </w:rPr>
        <w:t>viewed 20</w:t>
      </w:r>
      <w:r w:rsidR="00C93294">
        <w:rPr>
          <w:color w:val="000000" w:themeColor="text1"/>
        </w:rPr>
        <w:t xml:space="preserve"> </w:t>
      </w:r>
      <w:r w:rsidR="00C93294" w:rsidRPr="00C93294">
        <w:rPr>
          <w:color w:val="000000" w:themeColor="text1"/>
        </w:rPr>
        <w:t>August 2019.</w:t>
      </w:r>
    </w:p>
    <w:p w14:paraId="2B3A23A0" w14:textId="77777777" w:rsidR="00C93294" w:rsidRPr="00C93294" w:rsidRDefault="00C93294" w:rsidP="00322BF4">
      <w:pPr>
        <w:spacing w:before="60" w:line="276" w:lineRule="auto"/>
        <w:ind w:left="100" w:right="150"/>
      </w:pPr>
      <w:r w:rsidRPr="00C93294">
        <w:t xml:space="preserve">ACT Education Directorate (2019) </w:t>
      </w:r>
      <w:r w:rsidRPr="00C93294">
        <w:rPr>
          <w:i/>
        </w:rPr>
        <w:t xml:space="preserve">Early Childhood, </w:t>
      </w:r>
      <w:hyperlink r:id="rId60">
        <w:r w:rsidRPr="00C93294">
          <w:rPr>
            <w:u w:val="single"/>
          </w:rPr>
          <w:t>https://www.education.act.gov.au/early-</w:t>
        </w:r>
      </w:hyperlink>
      <w:r w:rsidRPr="00C93294">
        <w:t xml:space="preserve"> </w:t>
      </w:r>
      <w:hyperlink r:id="rId61">
        <w:r w:rsidRPr="00C93294">
          <w:rPr>
            <w:u w:val="single"/>
          </w:rPr>
          <w:t>childhood/the-acts-early-childhood-education-and-care-sector</w:t>
        </w:r>
        <w:r w:rsidRPr="00C93294">
          <w:t xml:space="preserve"> </w:t>
        </w:r>
      </w:hyperlink>
      <w:r w:rsidRPr="00C93294">
        <w:t>viewed 21 October 2019.</w:t>
      </w:r>
    </w:p>
    <w:p w14:paraId="7075687F" w14:textId="77777777" w:rsidR="00C93294" w:rsidRPr="00C93294" w:rsidRDefault="00C93294" w:rsidP="00322BF4">
      <w:pPr>
        <w:spacing w:before="57" w:line="276" w:lineRule="auto"/>
        <w:ind w:left="100" w:right="329"/>
      </w:pPr>
      <w:r w:rsidRPr="00C93294">
        <w:t xml:space="preserve">ACT Education Directorate (2019) </w:t>
      </w:r>
      <w:r w:rsidRPr="00C93294">
        <w:rPr>
          <w:i/>
        </w:rPr>
        <w:t xml:space="preserve">Yvette Berry MLA Media Releases, </w:t>
      </w:r>
      <w:hyperlink r:id="rId62">
        <w:r w:rsidRPr="00C93294">
          <w:rPr>
            <w:u w:val="single"/>
          </w:rPr>
          <w:t>https://www.cmtedd.act.gov.au/open_government/inform/act_government_media_releases/yvette-</w:t>
        </w:r>
      </w:hyperlink>
      <w:r w:rsidRPr="00C93294">
        <w:t xml:space="preserve"> </w:t>
      </w:r>
      <w:hyperlink r:id="rId63">
        <w:r w:rsidRPr="00C93294">
          <w:rPr>
            <w:u w:val="single"/>
          </w:rPr>
          <w:t>berry-mla-media-releases/2019/setting-the-foundations-for-every-childs-success</w:t>
        </w:r>
        <w:r w:rsidRPr="00C93294">
          <w:t xml:space="preserve"> </w:t>
        </w:r>
      </w:hyperlink>
      <w:r w:rsidRPr="00C93294">
        <w:t>viewed 21 October 2019.</w:t>
      </w:r>
    </w:p>
    <w:p w14:paraId="6336B2E4" w14:textId="77777777" w:rsidR="00C93294" w:rsidRPr="00C93294" w:rsidRDefault="00C93294" w:rsidP="00322BF4">
      <w:pPr>
        <w:spacing w:before="1" w:line="276" w:lineRule="auto"/>
        <w:ind w:left="100" w:right="462"/>
      </w:pPr>
      <w:r w:rsidRPr="00C93294">
        <w:t xml:space="preserve">ACT Education Directorate (2017) </w:t>
      </w:r>
      <w:r w:rsidRPr="00C93294">
        <w:rPr>
          <w:i/>
        </w:rPr>
        <w:t xml:space="preserve">Celebrating a great prep for pre- year in Canberra, </w:t>
      </w:r>
      <w:hyperlink r:id="rId64">
        <w:r w:rsidRPr="00C93294">
          <w:rPr>
            <w:w w:val="95"/>
            <w:u w:val="single"/>
          </w:rPr>
          <w:t>https://www.cmtedd.act.gov.au/open_government/inform/act_government_media_releases/rachel-</w:t>
        </w:r>
      </w:hyperlink>
      <w:r w:rsidRPr="00C93294">
        <w:rPr>
          <w:w w:val="95"/>
        </w:rPr>
        <w:t xml:space="preserve"> </w:t>
      </w:r>
      <w:hyperlink r:id="rId65">
        <w:r w:rsidRPr="00C93294">
          <w:rPr>
            <w:u w:val="single"/>
          </w:rPr>
          <w:t>stephen-smith-mla-media-releases/2017/celebrating-a-great-prep-for-pre-year-for-canberra-kids</w:t>
        </w:r>
      </w:hyperlink>
      <w:r w:rsidRPr="00C93294">
        <w:t xml:space="preserve"> viewed 17 July 2019.</w:t>
      </w:r>
    </w:p>
    <w:p w14:paraId="4479BE41" w14:textId="77777777" w:rsidR="00C93294" w:rsidRPr="00C93294" w:rsidRDefault="00C93294" w:rsidP="00322BF4">
      <w:pPr>
        <w:spacing w:before="50" w:line="276" w:lineRule="auto"/>
        <w:ind w:left="100" w:right="1259"/>
      </w:pPr>
      <w:r w:rsidRPr="00C93294">
        <w:t xml:space="preserve">ACT Education Directorate (2017) </w:t>
      </w:r>
      <w:r w:rsidRPr="00C93294">
        <w:rPr>
          <w:i/>
        </w:rPr>
        <w:t xml:space="preserve">The future of education: An ACT community conversation; Early Childhood Strategy. </w:t>
      </w:r>
      <w:r w:rsidRPr="00C93294">
        <w:t>Canberra: Department of Education.</w:t>
      </w:r>
    </w:p>
    <w:p w14:paraId="0D848CE6" w14:textId="77777777" w:rsidR="00C93294" w:rsidRPr="00C93294" w:rsidRDefault="00C93294" w:rsidP="00322BF4">
      <w:pPr>
        <w:spacing w:before="62" w:line="276" w:lineRule="auto"/>
        <w:ind w:firstLine="100"/>
      </w:pPr>
      <w:r w:rsidRPr="00C93294">
        <w:t>AIATSIS (Australian Institute of Aboriginal and Torres Strait Islander Studies) (2012)</w:t>
      </w:r>
    </w:p>
    <w:p w14:paraId="311DF965" w14:textId="77777777" w:rsidR="00C93294" w:rsidRPr="00C93294" w:rsidRDefault="00C93294" w:rsidP="00322BF4">
      <w:pPr>
        <w:spacing w:line="276" w:lineRule="auto"/>
        <w:ind w:left="100"/>
      </w:pPr>
      <w:r w:rsidRPr="00C93294">
        <w:rPr>
          <w:i/>
        </w:rPr>
        <w:t xml:space="preserve">Guidelines for ethical research in Australian Indigenous studies. </w:t>
      </w:r>
      <w:r w:rsidRPr="00C93294">
        <w:t>Canberra: AIATSIS.</w:t>
      </w:r>
    </w:p>
    <w:p w14:paraId="65F5671D" w14:textId="77777777" w:rsidR="00C93294" w:rsidRPr="00C93294" w:rsidRDefault="00C93294" w:rsidP="00322BF4">
      <w:pPr>
        <w:spacing w:before="60" w:line="276" w:lineRule="auto"/>
        <w:ind w:left="100" w:right="563"/>
      </w:pPr>
      <w:r w:rsidRPr="00C93294">
        <w:t xml:space="preserve">AIFS (Australian Institute of Family Studies) (2013) </w:t>
      </w:r>
      <w:r w:rsidRPr="00C93294">
        <w:rPr>
          <w:i/>
        </w:rPr>
        <w:t xml:space="preserve">Access to early childhood education in Australia, research report No. 24, April, </w:t>
      </w:r>
      <w:hyperlink r:id="rId66">
        <w:r w:rsidRPr="00C93294">
          <w:rPr>
            <w:u w:val="single"/>
          </w:rPr>
          <w:t>https://aifs.gov.au/publications/access-early-childhood-</w:t>
        </w:r>
      </w:hyperlink>
      <w:r w:rsidRPr="00C93294">
        <w:t xml:space="preserve"> </w:t>
      </w:r>
      <w:hyperlink r:id="rId67">
        <w:r w:rsidRPr="00C93294">
          <w:rPr>
            <w:u w:val="single"/>
          </w:rPr>
          <w:t>education-australia/executive-summary</w:t>
        </w:r>
        <w:r w:rsidRPr="00C93294">
          <w:t xml:space="preserve"> </w:t>
        </w:r>
      </w:hyperlink>
      <w:r w:rsidRPr="00C93294">
        <w:t>viewed 17 July 2019.</w:t>
      </w:r>
    </w:p>
    <w:p w14:paraId="1281B20F" w14:textId="77777777" w:rsidR="00C93294" w:rsidRPr="00C93294" w:rsidRDefault="00C93294" w:rsidP="00322BF4">
      <w:pPr>
        <w:spacing w:before="52" w:line="276" w:lineRule="auto"/>
        <w:ind w:left="100" w:right="313"/>
      </w:pPr>
      <w:r w:rsidRPr="00C93294">
        <w:t xml:space="preserve">AIHW (Australian Institute of Health and Welfare) (2015) </w:t>
      </w:r>
      <w:r w:rsidRPr="00C93294">
        <w:rPr>
          <w:i/>
        </w:rPr>
        <w:t>Literature review of the impact of early childhood education and care on learning and development: Working paper. Cat. no</w:t>
      </w:r>
      <w:r w:rsidRPr="00C93294">
        <w:t>. CWS 53. Canberra: AIHW.</w:t>
      </w:r>
    </w:p>
    <w:p w14:paraId="149899DB" w14:textId="77777777" w:rsidR="00C93294" w:rsidRPr="00C93294" w:rsidRDefault="00C93294" w:rsidP="00322BF4">
      <w:pPr>
        <w:spacing w:before="58" w:line="276" w:lineRule="auto"/>
        <w:ind w:left="100" w:right="324"/>
      </w:pPr>
      <w:r w:rsidRPr="00C93294">
        <w:t xml:space="preserve">Australian Government (2019a) </w:t>
      </w:r>
      <w:r w:rsidRPr="00C93294">
        <w:rPr>
          <w:i/>
        </w:rPr>
        <w:t xml:space="preserve">Australian Early Development Census national report 2018: A snapshot of early childhood development in Australia. </w:t>
      </w:r>
      <w:r w:rsidRPr="00C93294">
        <w:t>Canberra: Department of Education and Training.</w:t>
      </w:r>
    </w:p>
    <w:p w14:paraId="3D532713" w14:textId="77777777" w:rsidR="00C93294" w:rsidRPr="00C93294" w:rsidRDefault="00C93294" w:rsidP="00322BF4">
      <w:pPr>
        <w:spacing w:before="59" w:line="276" w:lineRule="auto"/>
        <w:ind w:left="100" w:right="402"/>
      </w:pPr>
      <w:r w:rsidRPr="00C93294">
        <w:t xml:space="preserve">Australian Government (2019b) </w:t>
      </w:r>
      <w:r w:rsidRPr="00C93294">
        <w:rPr>
          <w:i/>
        </w:rPr>
        <w:t xml:space="preserve">Closing the gap report 2019. </w:t>
      </w:r>
      <w:r w:rsidRPr="00C93294">
        <w:t>Canberra: Department of Prime Minister and Cabinet. p 52.</w:t>
      </w:r>
    </w:p>
    <w:p w14:paraId="3A0EC670" w14:textId="77777777" w:rsidR="00C93294" w:rsidRPr="00C93294" w:rsidRDefault="00C93294" w:rsidP="00322BF4">
      <w:pPr>
        <w:spacing w:before="54" w:line="276" w:lineRule="auto"/>
        <w:ind w:left="100" w:right="258"/>
      </w:pPr>
      <w:r w:rsidRPr="00C93294">
        <w:t xml:space="preserve">Australian Government (2017) </w:t>
      </w:r>
      <w:r w:rsidRPr="00C93294">
        <w:rPr>
          <w:i/>
        </w:rPr>
        <w:t xml:space="preserve">National Report: National Partnership Agreement on Universal Access to Early Childhood Education – 2016 and 2017. </w:t>
      </w:r>
      <w:r w:rsidRPr="00C93294">
        <w:t>Canberra, Department of Education and Training.</w:t>
      </w:r>
    </w:p>
    <w:p w14:paraId="63DF9BEA" w14:textId="77777777" w:rsidR="00C93294" w:rsidRPr="00C93294" w:rsidRDefault="00C93294" w:rsidP="00322BF4">
      <w:pPr>
        <w:spacing w:before="55" w:line="276" w:lineRule="auto"/>
        <w:ind w:left="100" w:right="881"/>
      </w:pPr>
      <w:r w:rsidRPr="00C93294">
        <w:t xml:space="preserve">Australia Government (2016) </w:t>
      </w:r>
      <w:r w:rsidRPr="00C93294">
        <w:rPr>
          <w:i/>
        </w:rPr>
        <w:t xml:space="preserve">Closing the gap: Prime Minister’s report </w:t>
      </w:r>
      <w:r w:rsidRPr="00C93294">
        <w:t>2016. Canberra, Department of Prime Minister and Cabinet.</w:t>
      </w:r>
    </w:p>
    <w:p w14:paraId="146D490F" w14:textId="77777777" w:rsidR="00C93294" w:rsidRPr="00C93294" w:rsidRDefault="00C93294" w:rsidP="00322BF4">
      <w:pPr>
        <w:spacing w:before="57" w:line="276" w:lineRule="auto"/>
        <w:ind w:left="100" w:right="329"/>
        <w:rPr>
          <w:color w:val="000000" w:themeColor="text1"/>
        </w:rPr>
      </w:pPr>
      <w:r w:rsidRPr="00C93294">
        <w:rPr>
          <w:color w:val="000000" w:themeColor="text1"/>
        </w:rPr>
        <w:t>Australian Government (2015a) Australian Early Development Census</w:t>
      </w:r>
      <w:r w:rsidRPr="00C93294">
        <w:rPr>
          <w:i/>
          <w:color w:val="000000" w:themeColor="text1"/>
        </w:rPr>
        <w:t xml:space="preserve"> - A snapshot of early childhood development in Australia’</w:t>
      </w:r>
      <w:r w:rsidRPr="00C93294">
        <w:rPr>
          <w:color w:val="000000" w:themeColor="text1"/>
        </w:rPr>
        <w:t xml:space="preserve"> </w:t>
      </w:r>
      <w:hyperlink r:id="rId68" w:history="1">
        <w:r w:rsidRPr="00C93294">
          <w:rPr>
            <w:color w:val="000000"/>
            <w:u w:val="single"/>
          </w:rPr>
          <w:t>https://www.aedc.gov.au/Websilk/Handlers/ResourceDocument.ashx?id=45cf2664-db9a-6d2b-9fad-ff0000a141dd</w:t>
        </w:r>
      </w:hyperlink>
      <w:r w:rsidRPr="00C93294">
        <w:t xml:space="preserve"> viewed </w:t>
      </w:r>
      <w:r w:rsidRPr="00C93294">
        <w:rPr>
          <w:color w:val="000000" w:themeColor="text1"/>
        </w:rPr>
        <w:t>18 December 2019.</w:t>
      </w:r>
    </w:p>
    <w:p w14:paraId="5B09250E" w14:textId="0314DC20" w:rsidR="00C93294" w:rsidRDefault="00C93294" w:rsidP="00322BF4">
      <w:pPr>
        <w:spacing w:before="53" w:line="276" w:lineRule="auto"/>
        <w:ind w:left="100"/>
      </w:pPr>
      <w:r w:rsidRPr="00C93294">
        <w:t xml:space="preserve">Australian Government (2015b) </w:t>
      </w:r>
      <w:r w:rsidRPr="00C93294">
        <w:rPr>
          <w:i/>
        </w:rPr>
        <w:t>Footprints in time: The l</w:t>
      </w:r>
      <w:r>
        <w:rPr>
          <w:i/>
        </w:rPr>
        <w:t>on</w:t>
      </w:r>
      <w:r w:rsidR="00322BF4">
        <w:rPr>
          <w:i/>
        </w:rPr>
        <w:t xml:space="preserve">gitudinal study of Indigenous   </w:t>
      </w:r>
      <w:r w:rsidRPr="00C93294">
        <w:rPr>
          <w:i/>
        </w:rPr>
        <w:t>children</w:t>
      </w:r>
      <w:r>
        <w:rPr>
          <w:i/>
        </w:rPr>
        <w:t xml:space="preserve"> </w:t>
      </w:r>
      <w:r w:rsidRPr="00C93294">
        <w:rPr>
          <w:i/>
        </w:rPr>
        <w:t>– Report from Wave 5</w:t>
      </w:r>
      <w:r w:rsidRPr="00C93294">
        <w:t>. Canberra: Department of Social Services.</w:t>
      </w:r>
    </w:p>
    <w:p w14:paraId="524D7BBC" w14:textId="77777777" w:rsidR="00D50AAD" w:rsidRPr="00C93294" w:rsidRDefault="00D50AAD" w:rsidP="00322BF4">
      <w:pPr>
        <w:spacing w:before="53" w:line="276" w:lineRule="auto"/>
        <w:ind w:left="100"/>
        <w:rPr>
          <w:i/>
        </w:rPr>
      </w:pPr>
    </w:p>
    <w:p w14:paraId="08DF7E01" w14:textId="77777777" w:rsidR="00C93294" w:rsidRPr="00C93294" w:rsidRDefault="00C93294" w:rsidP="00322BF4">
      <w:pPr>
        <w:spacing w:before="57" w:line="276" w:lineRule="auto"/>
        <w:ind w:left="100" w:right="329"/>
      </w:pPr>
      <w:r w:rsidRPr="00C93294">
        <w:rPr>
          <w:color w:val="000000" w:themeColor="text1"/>
        </w:rPr>
        <w:t>Australian Government (2014a</w:t>
      </w:r>
      <w:r w:rsidRPr="00C93294">
        <w:rPr>
          <w:i/>
          <w:color w:val="000000" w:themeColor="text1"/>
        </w:rPr>
        <w:t>) ‘Australian Early Development Census - Research snapshot: early childhood education and care and the transition to school’’</w:t>
      </w:r>
      <w:r w:rsidRPr="00C93294">
        <w:rPr>
          <w:color w:val="000000" w:themeColor="text1"/>
        </w:rPr>
        <w:t xml:space="preserve"> </w:t>
      </w:r>
      <w:hyperlink r:id="rId69" w:history="1">
        <w:r w:rsidRPr="00C93294">
          <w:rPr>
            <w:color w:val="000000"/>
            <w:u w:val="single"/>
          </w:rPr>
          <w:t>https://www.aedc.gov.au/resources</w:t>
        </w:r>
      </w:hyperlink>
      <w:r w:rsidRPr="00C93294">
        <w:t xml:space="preserve"> viewed </w:t>
      </w:r>
      <w:r w:rsidRPr="00C93294">
        <w:rPr>
          <w:color w:val="000000" w:themeColor="text1"/>
        </w:rPr>
        <w:t>18 December 2019.</w:t>
      </w:r>
    </w:p>
    <w:p w14:paraId="00F19FC5" w14:textId="6D3476D5" w:rsidR="00C93294" w:rsidRPr="00C93294" w:rsidRDefault="00C93294" w:rsidP="00322BF4">
      <w:pPr>
        <w:widowControl/>
        <w:autoSpaceDE/>
        <w:autoSpaceDN/>
        <w:spacing w:after="60" w:line="276" w:lineRule="auto"/>
        <w:ind w:left="100"/>
        <w:rPr>
          <w:lang w:eastAsia="en-US" w:bidi="ar-SA"/>
        </w:rPr>
      </w:pPr>
      <w:r w:rsidRPr="00C93294">
        <w:rPr>
          <w:lang w:eastAsia="en-US" w:bidi="ar-SA"/>
        </w:rPr>
        <w:t xml:space="preserve">Australian Government (2014b) </w:t>
      </w:r>
      <w:r w:rsidR="00322BF4">
        <w:rPr>
          <w:lang w:eastAsia="en-US" w:bidi="ar-SA"/>
        </w:rPr>
        <w:t>‘</w:t>
      </w:r>
      <w:r w:rsidR="00322BF4" w:rsidRPr="00C93294">
        <w:rPr>
          <w:i/>
          <w:color w:val="000000" w:themeColor="text1"/>
        </w:rPr>
        <w:t xml:space="preserve">Australian Early Development Census - </w:t>
      </w:r>
      <w:r w:rsidRPr="00C93294">
        <w:rPr>
          <w:i/>
          <w:lang w:eastAsia="en-US" w:bidi="ar-SA"/>
        </w:rPr>
        <w:t>Research snapshot the predictive validity of the Early Development Instrument (EDI): Predicting later cognitive and behavioural outcomes</w:t>
      </w:r>
      <w:r w:rsidRPr="00C93294">
        <w:rPr>
          <w:lang w:eastAsia="en-US" w:bidi="ar-SA"/>
        </w:rPr>
        <w:t xml:space="preserve">, </w:t>
      </w:r>
      <w:r w:rsidRPr="00C93294">
        <w:rPr>
          <w:color w:val="000000"/>
          <w:u w:val="single"/>
          <w:lang w:eastAsia="en-US" w:bidi="ar-SA"/>
        </w:rPr>
        <w:t>https://www.aedc.gov.au/resources/resources-accessible/research-snapshot-the-predictive-validity-of-the-early-development-instrument-(edi)-predicting-later-cognitive-and-behavioural-outcomes</w:t>
      </w:r>
      <w:r w:rsidRPr="00C93294">
        <w:rPr>
          <w:lang w:eastAsia="en-US" w:bidi="ar-SA"/>
        </w:rPr>
        <w:t xml:space="preserve"> viewed 17 July 2019.</w:t>
      </w:r>
    </w:p>
    <w:p w14:paraId="508AECE8" w14:textId="77777777" w:rsidR="00C93294" w:rsidRPr="00C93294" w:rsidRDefault="00C93294" w:rsidP="00322BF4">
      <w:pPr>
        <w:spacing w:before="63" w:line="276" w:lineRule="auto"/>
        <w:ind w:left="100" w:right="591"/>
      </w:pPr>
      <w:r w:rsidRPr="00C93294">
        <w:t>Australian Government (2009) Belonging, being and becoming: The Early Years Learning Framework for Australia, Canberra,</w:t>
      </w:r>
    </w:p>
    <w:p w14:paraId="7CAF5DCA" w14:textId="77777777" w:rsidR="00C93294" w:rsidRPr="00C93294" w:rsidRDefault="00BA469C" w:rsidP="00322BF4">
      <w:pPr>
        <w:spacing w:before="3" w:line="276" w:lineRule="auto"/>
        <w:ind w:left="100"/>
      </w:pPr>
      <w:hyperlink r:id="rId70" w:history="1">
        <w:r w:rsidR="00C93294" w:rsidRPr="00C93294">
          <w:rPr>
            <w:color w:val="000000"/>
            <w:u w:val="single"/>
          </w:rPr>
          <w:t>https://docs.education.gov.au/system/files/doc/other/belonging_being_and_becoming_the_early_years_learning_framework_for_australia_0.pdf</w:t>
        </w:r>
      </w:hyperlink>
      <w:r w:rsidR="00C93294" w:rsidRPr="00C93294">
        <w:t xml:space="preserve"> viewed 21 October 2019.</w:t>
      </w:r>
    </w:p>
    <w:p w14:paraId="6EAE0E0F" w14:textId="77777777" w:rsidR="00C93294" w:rsidRPr="00C93294" w:rsidRDefault="00C93294" w:rsidP="00322BF4">
      <w:pPr>
        <w:spacing w:before="54" w:line="276" w:lineRule="auto"/>
        <w:ind w:left="100" w:right="603"/>
      </w:pPr>
      <w:r w:rsidRPr="00C93294">
        <w:t xml:space="preserve">Barkley E (2019) </w:t>
      </w:r>
      <w:r w:rsidRPr="00C93294">
        <w:rPr>
          <w:i/>
        </w:rPr>
        <w:t xml:space="preserve">WT3 pilot evaluation report. </w:t>
      </w:r>
      <w:r w:rsidRPr="00C93294">
        <w:t>Hobart: Department of Education Tasmania (DoE), Tasmanian Council of Social Services (TasCOSS), and The Australian Centre for Social Innovation (TACSI).</w:t>
      </w:r>
    </w:p>
    <w:p w14:paraId="265E4312" w14:textId="77777777" w:rsidR="00C93294" w:rsidRPr="00C93294" w:rsidRDefault="00C93294" w:rsidP="00322BF4">
      <w:pPr>
        <w:spacing w:before="55" w:line="276" w:lineRule="auto"/>
        <w:ind w:left="100" w:right="369"/>
      </w:pPr>
      <w:r w:rsidRPr="00C93294">
        <w:t xml:space="preserve">Baxter J &amp; Hand K (2013) </w:t>
      </w:r>
      <w:r w:rsidRPr="00C93294">
        <w:rPr>
          <w:i/>
        </w:rPr>
        <w:t xml:space="preserve">Access to early childhood education in Australia Research Report No. 24. </w:t>
      </w:r>
      <w:r w:rsidRPr="00C93294">
        <w:t>Canberra: AIHW</w:t>
      </w:r>
    </w:p>
    <w:p w14:paraId="093FD97E" w14:textId="77777777" w:rsidR="00C93294" w:rsidRPr="00C93294" w:rsidRDefault="00C93294" w:rsidP="00322BF4">
      <w:pPr>
        <w:spacing w:before="59" w:line="276" w:lineRule="auto"/>
        <w:ind w:left="100" w:right="569"/>
      </w:pPr>
      <w:r w:rsidRPr="00C93294">
        <w:t xml:space="preserve">Boag-Munroe G &amp; Evangelou M (2012) ‘From hard to reach to how to reach: A systematic review of literature on hard-to-reach families’ </w:t>
      </w:r>
      <w:r w:rsidRPr="00C93294">
        <w:rPr>
          <w:i/>
        </w:rPr>
        <w:t xml:space="preserve">Research Papers in Education, </w:t>
      </w:r>
      <w:r w:rsidRPr="00C93294">
        <w:t>27(2), 209-32.</w:t>
      </w:r>
    </w:p>
    <w:p w14:paraId="718762FA" w14:textId="77777777" w:rsidR="00C93294" w:rsidRPr="00C93294" w:rsidRDefault="00C93294" w:rsidP="00322BF4">
      <w:pPr>
        <w:spacing w:before="56" w:line="276" w:lineRule="auto"/>
        <w:ind w:left="100" w:right="503"/>
      </w:pPr>
      <w:r w:rsidRPr="00C93294">
        <w:t xml:space="preserve">Braun V &amp; Clarke V (2006) ‘Using thematic analysis in psychology’ </w:t>
      </w:r>
      <w:r w:rsidRPr="00C93294">
        <w:rPr>
          <w:i/>
        </w:rPr>
        <w:t>Qualitative Research in Psychology</w:t>
      </w:r>
      <w:r w:rsidRPr="00C93294">
        <w:t>, 3(2), 77</w:t>
      </w:r>
      <w:r w:rsidRPr="00C93294">
        <w:rPr>
          <w:rFonts w:ascii="Cambria Math" w:hAnsi="Cambria Math" w:cs="Cambria Math"/>
        </w:rPr>
        <w:t>‐</w:t>
      </w:r>
      <w:r w:rsidRPr="00C93294">
        <w:t>101.</w:t>
      </w:r>
    </w:p>
    <w:p w14:paraId="71ED1777" w14:textId="77777777" w:rsidR="00C93294" w:rsidRPr="00C93294" w:rsidRDefault="00C93294" w:rsidP="00322BF4">
      <w:pPr>
        <w:spacing w:before="63" w:line="276" w:lineRule="auto"/>
        <w:ind w:left="100" w:right="481"/>
      </w:pPr>
      <w:r w:rsidRPr="00C93294">
        <w:t xml:space="preserve">Brennan D, Skattebol J, Blaxland M, Purcal C, Hill T, Jenkins B, Adamson E &amp; Williams F (2014) </w:t>
      </w:r>
      <w:r w:rsidRPr="00C93294">
        <w:rPr>
          <w:i/>
        </w:rPr>
        <w:t xml:space="preserve">Families at the Centre: What do low income families say about care and education for their young children? (SPRC Report 28/2014). </w:t>
      </w:r>
      <w:r w:rsidRPr="00C93294">
        <w:t>Sydney: Social Policy Research Centre, UNSW.</w:t>
      </w:r>
    </w:p>
    <w:p w14:paraId="2FAA19CE" w14:textId="77777777" w:rsidR="00C93294" w:rsidRPr="00C93294" w:rsidRDefault="00C93294" w:rsidP="00322BF4">
      <w:pPr>
        <w:spacing w:before="93" w:line="276" w:lineRule="auto"/>
        <w:ind w:left="100" w:right="129"/>
      </w:pPr>
      <w:r w:rsidRPr="00C93294">
        <w:t xml:space="preserve">Brinkman S, Gregory T, Harris J, Hart B, Blackmore S &amp; Janus M (2013) ‘Associations between the early development instrument at age 5 and reading and numeracy skills at ages 8,10 and 12: A prospective linked data study’ </w:t>
      </w:r>
      <w:r w:rsidRPr="00C93294">
        <w:rPr>
          <w:i/>
        </w:rPr>
        <w:t xml:space="preserve">Child Indicators Research, </w:t>
      </w:r>
      <w:r w:rsidRPr="00C93294">
        <w:t>6(4),</w:t>
      </w:r>
      <w:r w:rsidRPr="00C93294">
        <w:rPr>
          <w:spacing w:val="-1"/>
        </w:rPr>
        <w:t xml:space="preserve"> </w:t>
      </w:r>
      <w:r w:rsidRPr="00C93294">
        <w:t>695-708.</w:t>
      </w:r>
    </w:p>
    <w:p w14:paraId="2BACCB21" w14:textId="77777777" w:rsidR="00C93294" w:rsidRPr="00C93294" w:rsidRDefault="00C93294" w:rsidP="00322BF4">
      <w:pPr>
        <w:spacing w:before="64" w:line="276" w:lineRule="auto"/>
        <w:ind w:left="100" w:right="393"/>
      </w:pPr>
      <w:r w:rsidRPr="00C93294">
        <w:t xml:space="preserve">Bronfenbrenner U (1999) ‘Environments in developmental perspective: Theoretical and operational models’ in S. L. Friedman &amp; T. D. Wachs (Eds.), </w:t>
      </w:r>
      <w:r w:rsidRPr="00C93294">
        <w:rPr>
          <w:i/>
        </w:rPr>
        <w:t>Measuring environment across the life span: Emerging methods and concepts</w:t>
      </w:r>
      <w:r w:rsidRPr="00C93294">
        <w:t>. Washington, DC: American Psychological Association.</w:t>
      </w:r>
    </w:p>
    <w:p w14:paraId="1EF97BEB" w14:textId="77777777" w:rsidR="00C93294" w:rsidRPr="00C93294" w:rsidRDefault="00C93294" w:rsidP="00322BF4">
      <w:pPr>
        <w:spacing w:before="59" w:line="276" w:lineRule="auto"/>
        <w:ind w:left="100" w:right="320"/>
        <w:jc w:val="both"/>
      </w:pPr>
      <w:r w:rsidRPr="00C93294">
        <w:t xml:space="preserve">Carbines R, Grieves V, Robb L &amp; Wyatt T (2008) </w:t>
      </w:r>
      <w:r w:rsidRPr="00C93294">
        <w:rPr>
          <w:i/>
        </w:rPr>
        <w:t xml:space="preserve">National study into the successful transition of Indigenous children into school. Project report. Report to the Department of Education. </w:t>
      </w:r>
      <w:r w:rsidRPr="00C93294">
        <w:t>Canberra: Employment and Workplace Relations.</w:t>
      </w:r>
    </w:p>
    <w:p w14:paraId="6413B26C" w14:textId="77777777" w:rsidR="00C93294" w:rsidRPr="00C93294" w:rsidRDefault="00C93294" w:rsidP="00322BF4">
      <w:pPr>
        <w:spacing w:before="59" w:line="276" w:lineRule="auto"/>
        <w:ind w:left="100" w:right="191"/>
      </w:pPr>
      <w:r w:rsidRPr="00C93294">
        <w:t xml:space="preserve">CESE (Centre for Education Statistics and Evaluation) (2016) </w:t>
      </w:r>
      <w:r w:rsidRPr="00C93294">
        <w:rPr>
          <w:i/>
        </w:rPr>
        <w:t xml:space="preserve">Children with disability in inclusive early childhood education and care. </w:t>
      </w:r>
      <w:r w:rsidRPr="00C93294">
        <w:t>Sydney: Centre for Education Statistics and Evaluation.</w:t>
      </w:r>
    </w:p>
    <w:p w14:paraId="5C9E07B1" w14:textId="01116E70" w:rsidR="00D50AAD" w:rsidRPr="00D464BF" w:rsidRDefault="00C93294" w:rsidP="00D464BF">
      <w:pPr>
        <w:spacing w:before="63" w:line="276" w:lineRule="auto"/>
        <w:ind w:left="100" w:right="280"/>
        <w:rPr>
          <w:i/>
        </w:rPr>
      </w:pPr>
      <w:r w:rsidRPr="00C93294">
        <w:t xml:space="preserve">Claessens A &amp; Garrett R (2014) ‘The role of early childhood settings for 4–5 year old children in early academic skills and later achievement in Australia’ </w:t>
      </w:r>
      <w:r w:rsidRPr="00C93294">
        <w:rPr>
          <w:i/>
        </w:rPr>
        <w:t>Early Childhood Research Quarterly</w:t>
      </w:r>
      <w:r w:rsidRPr="00C93294">
        <w:t>, 29(4), 550-61</w:t>
      </w:r>
      <w:r w:rsidR="00D464BF">
        <w:rPr>
          <w:i/>
        </w:rPr>
        <w:t>.</w:t>
      </w:r>
    </w:p>
    <w:p w14:paraId="272BBB46" w14:textId="52B71DE3" w:rsidR="00D50AAD" w:rsidRDefault="00C93294" w:rsidP="00D50AAD">
      <w:pPr>
        <w:spacing w:before="57" w:line="276" w:lineRule="auto"/>
        <w:ind w:left="100" w:right="718"/>
        <w:jc w:val="both"/>
      </w:pPr>
      <w:r w:rsidRPr="00C93294">
        <w:t xml:space="preserve">Commerford J &amp; Robinson E (2016) </w:t>
      </w:r>
      <w:r w:rsidRPr="00C93294">
        <w:rPr>
          <w:i/>
        </w:rPr>
        <w:t xml:space="preserve">Supported playgroups for parents and children: The evidence for their benefits (CFCA Paper No. 40). </w:t>
      </w:r>
      <w:r w:rsidRPr="00C93294">
        <w:t>Melbourne: Child Family Community Australia information exchange, Australian Institute of Family</w:t>
      </w:r>
      <w:r w:rsidR="00D50AAD">
        <w:t xml:space="preserve"> Studies.</w:t>
      </w:r>
    </w:p>
    <w:p w14:paraId="4E628758" w14:textId="37DFFE4E" w:rsidR="00C93294" w:rsidRPr="00C93294" w:rsidRDefault="00C93294" w:rsidP="00322BF4">
      <w:pPr>
        <w:spacing w:before="54" w:line="276" w:lineRule="auto"/>
        <w:ind w:left="100" w:right="192"/>
      </w:pPr>
      <w:r w:rsidRPr="00C93294">
        <w:t xml:space="preserve">Cunha F &amp; Heckman J (2007) ‘The technology of skill formation’, </w:t>
      </w:r>
      <w:r w:rsidRPr="00C93294">
        <w:rPr>
          <w:i/>
        </w:rPr>
        <w:t>American Economic Review, American Economic Association</w:t>
      </w:r>
      <w:r w:rsidRPr="00C93294">
        <w:t>, Vol. 97, No. 2, pp. 31-47.</w:t>
      </w:r>
    </w:p>
    <w:p w14:paraId="34EF28E4" w14:textId="77777777" w:rsidR="00C93294" w:rsidRPr="00C93294" w:rsidRDefault="00C93294" w:rsidP="00322BF4">
      <w:pPr>
        <w:spacing w:before="61" w:line="276" w:lineRule="auto"/>
        <w:ind w:left="100"/>
      </w:pPr>
      <w:r w:rsidRPr="00C93294">
        <w:t xml:space="preserve">Dockett S, Mason T &amp; Perry R (2006) ’Successful transition to school for Australian Aboriginal children’ </w:t>
      </w:r>
      <w:r w:rsidRPr="00C93294">
        <w:rPr>
          <w:i/>
        </w:rPr>
        <w:t>Childhood Education</w:t>
      </w:r>
      <w:r w:rsidRPr="00C93294">
        <w:t>, 82(3), 139</w:t>
      </w:r>
      <w:r w:rsidRPr="00C93294">
        <w:rPr>
          <w:rFonts w:ascii="Cambria Math" w:hAnsi="Cambria Math" w:cs="Cambria Math"/>
        </w:rPr>
        <w:t>‐</w:t>
      </w:r>
      <w:r w:rsidRPr="00C93294">
        <w:t>44.</w:t>
      </w:r>
    </w:p>
    <w:p w14:paraId="56007836" w14:textId="7D2A5F3B" w:rsidR="00C93294" w:rsidRPr="00C93294" w:rsidRDefault="00C93294" w:rsidP="00322BF4">
      <w:pPr>
        <w:spacing w:before="59" w:line="276" w:lineRule="auto"/>
        <w:ind w:left="100" w:right="246"/>
      </w:pPr>
      <w:r w:rsidRPr="00C93294">
        <w:t>Early Childhood Australia (2017</w:t>
      </w:r>
      <w:r w:rsidR="00745629" w:rsidRPr="00C93294">
        <w:t>) Early</w:t>
      </w:r>
      <w:r w:rsidRPr="00C93294">
        <w:rPr>
          <w:i/>
        </w:rPr>
        <w:t xml:space="preserve"> Learning: Everyone Benefits.</w:t>
      </w:r>
      <w:r w:rsidRPr="00C93294">
        <w:t xml:space="preserve">  </w:t>
      </w:r>
      <w:r w:rsidRPr="00C93294">
        <w:rPr>
          <w:i/>
        </w:rPr>
        <w:t xml:space="preserve">State of early learning in Australia, 2017. </w:t>
      </w:r>
      <w:r w:rsidRPr="00C93294">
        <w:t>Canberra: Early Childhood Australia.</w:t>
      </w:r>
    </w:p>
    <w:p w14:paraId="6B109119" w14:textId="32858D42" w:rsidR="00C93294" w:rsidRPr="00C93294" w:rsidRDefault="00C93294" w:rsidP="00322BF4">
      <w:pPr>
        <w:spacing w:before="54" w:line="276" w:lineRule="auto"/>
        <w:ind w:left="100"/>
      </w:pPr>
      <w:r w:rsidRPr="00C93294">
        <w:t xml:space="preserve">Edith Cowan University (2018) </w:t>
      </w:r>
      <w:r w:rsidRPr="00C93294">
        <w:rPr>
          <w:i/>
        </w:rPr>
        <w:t xml:space="preserve">Evaluation of the KindiLink pilot initiative in Western Australia, Volume 1: Overview and key findings, </w:t>
      </w:r>
      <w:hyperlink r:id="rId71">
        <w:r w:rsidRPr="00C93294">
          <w:rPr>
            <w:w w:val="95"/>
            <w:u w:val="single"/>
          </w:rPr>
          <w:t>https://www.education.wa.edu.au/documents/43634948/0/1.+KindiLink_Volume+1_Overview+and+Fi</w:t>
        </w:r>
      </w:hyperlink>
      <w:hyperlink r:id="rId72">
        <w:r w:rsidRPr="00C93294">
          <w:rPr>
            <w:u w:val="single"/>
          </w:rPr>
          <w:t>ndings_Final</w:t>
        </w:r>
        <w:r w:rsidRPr="00C93294">
          <w:t xml:space="preserve"> </w:t>
        </w:r>
      </w:hyperlink>
      <w:r w:rsidRPr="00C93294">
        <w:t>viewed June 10, 2019.</w:t>
      </w:r>
    </w:p>
    <w:p w14:paraId="759B51FB" w14:textId="77777777" w:rsidR="00C93294" w:rsidRPr="00C93294" w:rsidRDefault="00C93294" w:rsidP="00322BF4">
      <w:pPr>
        <w:spacing w:before="52" w:line="276" w:lineRule="auto"/>
        <w:ind w:left="100" w:right="213"/>
      </w:pPr>
      <w:r w:rsidRPr="00C93294">
        <w:t xml:space="preserve">Fox S &amp; Geddes M (2016) </w:t>
      </w:r>
      <w:r w:rsidRPr="00C93294">
        <w:rPr>
          <w:i/>
        </w:rPr>
        <w:t>Preschool – two years are better than one: Developing a preschool program for Australian 3 year olds: Evidence, policy and implementation. Mitchell Institute Policy Paper 3/2016</w:t>
      </w:r>
      <w:r w:rsidRPr="00C93294">
        <w:t>. Melbourne: Mitchell Institute.</w:t>
      </w:r>
    </w:p>
    <w:p w14:paraId="62A50B95" w14:textId="77777777" w:rsidR="00C93294" w:rsidRPr="00C93294" w:rsidRDefault="00C93294" w:rsidP="00322BF4">
      <w:pPr>
        <w:spacing w:before="59" w:line="276" w:lineRule="auto"/>
        <w:ind w:left="100" w:right="391"/>
      </w:pPr>
      <w:r w:rsidRPr="00C93294">
        <w:t xml:space="preserve">Fox S &amp; Olsen A (2014) </w:t>
      </w:r>
      <w:r w:rsidRPr="00C93294">
        <w:rPr>
          <w:i/>
        </w:rPr>
        <w:t xml:space="preserve">Defining parental engagement. </w:t>
      </w:r>
      <w:r w:rsidRPr="00C93294">
        <w:t>Canberra: Department of Education and Training.</w:t>
      </w:r>
    </w:p>
    <w:p w14:paraId="70BA47A4" w14:textId="77777777" w:rsidR="00C93294" w:rsidRPr="00C93294" w:rsidRDefault="00C93294" w:rsidP="00322BF4">
      <w:pPr>
        <w:spacing w:before="59" w:line="276" w:lineRule="auto"/>
        <w:ind w:left="100" w:right="124"/>
      </w:pPr>
      <w:r w:rsidRPr="00C93294">
        <w:t xml:space="preserve">Grace R, Bowes J &amp; Elcombe E (2014) ‘Child participation and family engagement with early childhood education and care services in disadvantaged Australian communities’ </w:t>
      </w:r>
      <w:r w:rsidRPr="00C93294">
        <w:rPr>
          <w:i/>
        </w:rPr>
        <w:t>International Journal of Early Childhood</w:t>
      </w:r>
      <w:r w:rsidRPr="00C93294">
        <w:t>, 46(2), 271-98.</w:t>
      </w:r>
    </w:p>
    <w:p w14:paraId="355B49BA" w14:textId="77777777" w:rsidR="00C93294" w:rsidRPr="00C93294" w:rsidRDefault="00C93294" w:rsidP="00322BF4">
      <w:pPr>
        <w:spacing w:before="59" w:line="276" w:lineRule="auto"/>
        <w:ind w:firstLine="100"/>
      </w:pPr>
      <w:r w:rsidRPr="00C93294">
        <w:t>Hancock K J, Cunningham N K, Lawrence D, Zarb D &amp; Zubrick S R (2015) ‘Playgroup</w:t>
      </w:r>
    </w:p>
    <w:p w14:paraId="437F245F" w14:textId="2690DF4C" w:rsidR="00C93294" w:rsidRPr="00C93294" w:rsidRDefault="00C93294" w:rsidP="00322BF4">
      <w:pPr>
        <w:spacing w:line="276" w:lineRule="auto"/>
        <w:ind w:left="100"/>
      </w:pPr>
      <w:r w:rsidRPr="00C93294">
        <w:t>participation and social support outcomes for mothers of young childre</w:t>
      </w:r>
      <w:r w:rsidR="00322BF4">
        <w:t xml:space="preserve">n: A longitudinal cohort study’ </w:t>
      </w:r>
      <w:r w:rsidRPr="00C93294">
        <w:rPr>
          <w:i/>
        </w:rPr>
        <w:t xml:space="preserve">PLOS ONE, </w:t>
      </w:r>
      <w:r w:rsidRPr="00C93294">
        <w:t>10(7).</w:t>
      </w:r>
    </w:p>
    <w:p w14:paraId="7FA3204F" w14:textId="77777777" w:rsidR="00C93294" w:rsidRPr="00C93294" w:rsidRDefault="00C93294" w:rsidP="00322BF4">
      <w:pPr>
        <w:spacing w:before="61" w:line="276" w:lineRule="auto"/>
        <w:ind w:left="100" w:right="113"/>
      </w:pPr>
      <w:r w:rsidRPr="00C93294">
        <w:t xml:space="preserve">Harrison J, Goldfeld S, Metcalfe E &amp; T Moore (2012) </w:t>
      </w:r>
      <w:r w:rsidRPr="00C93294">
        <w:rPr>
          <w:i/>
        </w:rPr>
        <w:t xml:space="preserve">Early learning programs that promote children’s developmental and educational outcomes: Resource sheet 15. </w:t>
      </w:r>
      <w:r w:rsidRPr="00C93294">
        <w:t>Canberra: AIHW Closing the Gap Clearinghouse.</w:t>
      </w:r>
    </w:p>
    <w:p w14:paraId="301B61B3" w14:textId="77777777" w:rsidR="00C93294" w:rsidRPr="00C93294" w:rsidRDefault="00C93294" w:rsidP="00322BF4">
      <w:pPr>
        <w:spacing w:before="54" w:line="276" w:lineRule="auto"/>
        <w:ind w:firstLine="100"/>
      </w:pPr>
      <w:r w:rsidRPr="00C93294">
        <w:t>Heckman J (2011) ‘The economics of inequality: The value of early childhood education’</w:t>
      </w:r>
    </w:p>
    <w:p w14:paraId="257FD231" w14:textId="77777777" w:rsidR="00C93294" w:rsidRPr="00C93294" w:rsidRDefault="00C93294" w:rsidP="00322BF4">
      <w:pPr>
        <w:spacing w:line="276" w:lineRule="auto"/>
        <w:ind w:left="100"/>
      </w:pPr>
      <w:r w:rsidRPr="00C93294">
        <w:rPr>
          <w:i/>
        </w:rPr>
        <w:t>American Educator</w:t>
      </w:r>
      <w:r w:rsidRPr="00C93294">
        <w:t>, 35 (1), 31</w:t>
      </w:r>
      <w:r w:rsidRPr="00C93294">
        <w:rPr>
          <w:rFonts w:ascii="Cambria Math" w:hAnsi="Cambria Math" w:cs="Cambria Math"/>
        </w:rPr>
        <w:t>‐</w:t>
      </w:r>
      <w:r w:rsidRPr="00C93294">
        <w:t>47.</w:t>
      </w:r>
    </w:p>
    <w:p w14:paraId="33AF6430" w14:textId="77777777" w:rsidR="00C93294" w:rsidRPr="00C93294" w:rsidRDefault="00C93294" w:rsidP="00322BF4">
      <w:pPr>
        <w:spacing w:before="59" w:line="276" w:lineRule="auto"/>
        <w:ind w:firstLine="100"/>
        <w:rPr>
          <w:i/>
        </w:rPr>
      </w:pPr>
      <w:r w:rsidRPr="00C93294">
        <w:t xml:space="preserve">Higgins D &amp; Morley S. (2014) </w:t>
      </w:r>
      <w:r w:rsidRPr="00C93294">
        <w:rPr>
          <w:i/>
        </w:rPr>
        <w:t>Engaging Indigenous parents in their children's education.</w:t>
      </w:r>
    </w:p>
    <w:p w14:paraId="6AA35CBA" w14:textId="77777777" w:rsidR="00C93294" w:rsidRPr="00C93294" w:rsidRDefault="00C93294" w:rsidP="00322BF4">
      <w:pPr>
        <w:spacing w:line="276" w:lineRule="auto"/>
        <w:ind w:left="100"/>
      </w:pPr>
      <w:r w:rsidRPr="00C93294">
        <w:rPr>
          <w:i/>
        </w:rPr>
        <w:t xml:space="preserve">Resource sheet no. 32. </w:t>
      </w:r>
      <w:r w:rsidRPr="00C93294">
        <w:t>Closing the Gap Clearinghouse: AIHW.</w:t>
      </w:r>
    </w:p>
    <w:p w14:paraId="18293CDD" w14:textId="77777777" w:rsidR="00C93294" w:rsidRPr="00C93294" w:rsidRDefault="00C93294" w:rsidP="00322BF4">
      <w:pPr>
        <w:spacing w:before="93" w:line="276" w:lineRule="auto"/>
        <w:ind w:left="100" w:right="236"/>
      </w:pPr>
      <w:r w:rsidRPr="00C93294">
        <w:t xml:space="preserve">Higgins S &amp; Katsipataki M (2015) ‘Evidence from meta-analysis about parental involvement in education which supports their children's learning’ </w:t>
      </w:r>
      <w:r w:rsidRPr="00C93294">
        <w:rPr>
          <w:i/>
        </w:rPr>
        <w:t xml:space="preserve">Journal of Children's Services, </w:t>
      </w:r>
      <w:r w:rsidRPr="00C93294">
        <w:t>10(3),</w:t>
      </w:r>
      <w:r w:rsidRPr="00C93294">
        <w:rPr>
          <w:spacing w:val="-12"/>
        </w:rPr>
        <w:t xml:space="preserve"> </w:t>
      </w:r>
      <w:r w:rsidRPr="00C93294">
        <w:t>280-90.</w:t>
      </w:r>
    </w:p>
    <w:p w14:paraId="0110B657" w14:textId="77777777" w:rsidR="00C93294" w:rsidRPr="00C93294" w:rsidRDefault="00C93294" w:rsidP="00322BF4">
      <w:pPr>
        <w:spacing w:before="61" w:line="276" w:lineRule="auto"/>
        <w:ind w:left="100" w:right="462"/>
      </w:pPr>
      <w:r w:rsidRPr="00C93294">
        <w:t xml:space="preserve">Hill N E &amp; Taylor L C (2004) ‘Parental school involvement and children's academic achievement: Pragmatics and issues’ </w:t>
      </w:r>
      <w:r w:rsidRPr="00C93294">
        <w:rPr>
          <w:i/>
        </w:rPr>
        <w:t xml:space="preserve">Current Directions in Psychological Science, </w:t>
      </w:r>
      <w:r w:rsidRPr="00C93294">
        <w:t>13(4),</w:t>
      </w:r>
      <w:r w:rsidRPr="00C93294">
        <w:rPr>
          <w:spacing w:val="-31"/>
        </w:rPr>
        <w:t xml:space="preserve"> </w:t>
      </w:r>
      <w:r w:rsidRPr="00C93294">
        <w:t>161-4.</w:t>
      </w:r>
    </w:p>
    <w:p w14:paraId="792FE917" w14:textId="77777777" w:rsidR="00C93294" w:rsidRPr="00C93294" w:rsidRDefault="00C93294" w:rsidP="00322BF4">
      <w:pPr>
        <w:spacing w:before="58" w:line="276" w:lineRule="auto"/>
        <w:ind w:left="100"/>
      </w:pPr>
      <w:r w:rsidRPr="00C93294">
        <w:t xml:space="preserve">Jackson D (2013) ‘Creating a place to "be": Unpacking the facilitation role in three supported playgroups in Australia’ </w:t>
      </w:r>
      <w:r w:rsidRPr="00C93294">
        <w:rPr>
          <w:i/>
        </w:rPr>
        <w:t>European Early Childhood Education Research Journal</w:t>
      </w:r>
      <w:r w:rsidRPr="00C93294">
        <w:t>, 21(1), 77</w:t>
      </w:r>
      <w:r w:rsidRPr="00C93294">
        <w:rPr>
          <w:rFonts w:ascii="Cambria Math" w:hAnsi="Cambria Math" w:cs="Cambria Math"/>
        </w:rPr>
        <w:t>‐</w:t>
      </w:r>
      <w:r w:rsidRPr="00C93294">
        <w:t>93.</w:t>
      </w:r>
    </w:p>
    <w:p w14:paraId="3E0E0E1E" w14:textId="0A05A660" w:rsidR="00C93294" w:rsidRPr="00C93294" w:rsidRDefault="00C93294" w:rsidP="00D50AAD">
      <w:pPr>
        <w:spacing w:before="59" w:line="276" w:lineRule="auto"/>
        <w:ind w:left="100" w:right="-248"/>
      </w:pPr>
      <w:r w:rsidRPr="00C93294">
        <w:t xml:space="preserve">Kania J &amp; Kramer M (2011) ‘Collective impact’ </w:t>
      </w:r>
      <w:r w:rsidRPr="00C93294">
        <w:rPr>
          <w:i/>
        </w:rPr>
        <w:t>Stanford Social Innovation Review</w:t>
      </w:r>
      <w:r w:rsidR="00322BF4">
        <w:t xml:space="preserve">, 9(1), 36- </w:t>
      </w:r>
      <w:r w:rsidRPr="00C93294">
        <w:t>41.</w:t>
      </w:r>
    </w:p>
    <w:p w14:paraId="7C96CE36" w14:textId="52AEA335" w:rsidR="00B147FA" w:rsidRDefault="00C93294" w:rsidP="00D464BF">
      <w:pPr>
        <w:spacing w:before="60" w:line="276" w:lineRule="auto"/>
        <w:ind w:left="100" w:right="123"/>
      </w:pPr>
      <w:r w:rsidRPr="00C93294">
        <w:t xml:space="preserve">Krakouer J (2016) </w:t>
      </w:r>
      <w:r w:rsidRPr="00C93294">
        <w:rPr>
          <w:i/>
        </w:rPr>
        <w:t xml:space="preserve">Aboriginal early childhood education: Why attendance and true engagement are equally important. </w:t>
      </w:r>
      <w:r w:rsidR="00D464BF">
        <w:t>Melbourne: ACER.</w:t>
      </w:r>
    </w:p>
    <w:p w14:paraId="488F8E5A" w14:textId="07C4BD8F" w:rsidR="00D50AAD" w:rsidRPr="00B147FA" w:rsidRDefault="00C93294" w:rsidP="00B147FA">
      <w:pPr>
        <w:spacing w:before="59" w:line="276" w:lineRule="auto"/>
        <w:ind w:left="100" w:right="36"/>
        <w:rPr>
          <w:i/>
        </w:rPr>
      </w:pPr>
      <w:r w:rsidRPr="00C93294">
        <w:t xml:space="preserve">McTurk N, Nutton G, Lea T, Robinson G &amp; Carapetis J (2008) </w:t>
      </w:r>
      <w:r w:rsidR="00B147FA">
        <w:rPr>
          <w:i/>
        </w:rPr>
        <w:t xml:space="preserve">The school readiness of </w:t>
      </w:r>
      <w:r w:rsidRPr="00C93294">
        <w:rPr>
          <w:i/>
        </w:rPr>
        <w:t xml:space="preserve">Australian Indigenous children: A review of the literature. </w:t>
      </w:r>
      <w:r w:rsidRPr="00C93294">
        <w:t>Darwin: Menzies School of Health Research; School for Social and Policy Research, Charles Darwin University.</w:t>
      </w:r>
    </w:p>
    <w:p w14:paraId="52CB0CE6" w14:textId="27BE7DD1" w:rsidR="00C93294" w:rsidRPr="00C93294" w:rsidRDefault="00C93294" w:rsidP="00D50AAD">
      <w:pPr>
        <w:spacing w:before="59" w:line="276" w:lineRule="auto"/>
        <w:ind w:left="100" w:right="870"/>
      </w:pPr>
      <w:r w:rsidRPr="00C93294">
        <w:t xml:space="preserve">Morris M &amp; Parashar U (2012) </w:t>
      </w:r>
      <w:r w:rsidRPr="00C93294">
        <w:rPr>
          <w:i/>
        </w:rPr>
        <w:t xml:space="preserve">Addressing the participation, attendance and retention of children in education A review of best practice. </w:t>
      </w:r>
      <w:r w:rsidRPr="00C93294">
        <w:t>Dublin: National Educational Welfare Board of Ireland.</w:t>
      </w:r>
    </w:p>
    <w:p w14:paraId="52BAA261" w14:textId="77777777" w:rsidR="00C93294" w:rsidRPr="00C93294" w:rsidRDefault="00C93294" w:rsidP="00322BF4">
      <w:pPr>
        <w:spacing w:before="59" w:line="276" w:lineRule="auto"/>
        <w:ind w:left="100" w:right="382"/>
      </w:pPr>
      <w:r w:rsidRPr="00C93294">
        <w:t xml:space="preserve">Muir S &amp; Dean A (2017) </w:t>
      </w:r>
      <w:r w:rsidRPr="00C93294">
        <w:rPr>
          <w:i/>
        </w:rPr>
        <w:t xml:space="preserve">Evaluating outcomes of programs for Indigenous families and communities: Child family community Australia practice resource. </w:t>
      </w:r>
      <w:r w:rsidRPr="00C93294">
        <w:t>Melbourne: Australian Institute of Family Studies.</w:t>
      </w:r>
    </w:p>
    <w:p w14:paraId="5CF4405F" w14:textId="77777777" w:rsidR="00C93294" w:rsidRPr="00C93294" w:rsidRDefault="00C93294" w:rsidP="00322BF4">
      <w:pPr>
        <w:spacing w:before="54" w:line="276" w:lineRule="auto"/>
        <w:ind w:firstLine="100"/>
        <w:rPr>
          <w:i/>
        </w:rPr>
      </w:pPr>
      <w:r w:rsidRPr="00C93294">
        <w:t xml:space="preserve">Northern Territory Department of Education (2019) </w:t>
      </w:r>
      <w:r w:rsidRPr="00C93294">
        <w:rPr>
          <w:i/>
        </w:rPr>
        <w:t>Support for teachers,</w:t>
      </w:r>
    </w:p>
    <w:p w14:paraId="21567440" w14:textId="77777777" w:rsidR="00C93294" w:rsidRPr="00C93294" w:rsidRDefault="00BA469C" w:rsidP="00D50AAD">
      <w:pPr>
        <w:spacing w:before="3" w:line="276" w:lineRule="auto"/>
        <w:ind w:left="100" w:right="-248"/>
      </w:pPr>
      <w:hyperlink r:id="rId73">
        <w:r w:rsidR="00C93294" w:rsidRPr="00C93294">
          <w:rPr>
            <w:u w:val="single"/>
          </w:rPr>
          <w:t>https://education.nt.gov.au/support-for-teachers/transitioning-package</w:t>
        </w:r>
        <w:r w:rsidR="00C93294" w:rsidRPr="00C93294">
          <w:t xml:space="preserve"> </w:t>
        </w:r>
      </w:hyperlink>
      <w:r w:rsidR="00C93294" w:rsidRPr="00C93294">
        <w:t>viewed 27 October 2019.</w:t>
      </w:r>
    </w:p>
    <w:p w14:paraId="0CB678C5" w14:textId="77777777" w:rsidR="00C93294" w:rsidRPr="00C93294" w:rsidRDefault="00C93294" w:rsidP="00322BF4">
      <w:pPr>
        <w:spacing w:before="58" w:line="276" w:lineRule="auto"/>
        <w:ind w:left="100" w:right="661"/>
      </w:pPr>
      <w:r w:rsidRPr="00C93294">
        <w:t xml:space="preserve">NSW Department of Education (2019) </w:t>
      </w:r>
      <w:r w:rsidRPr="00C93294">
        <w:rPr>
          <w:i/>
        </w:rPr>
        <w:t xml:space="preserve">Early childhood education, </w:t>
      </w:r>
      <w:hyperlink r:id="rId74">
        <w:r w:rsidRPr="00C93294">
          <w:rPr>
            <w:w w:val="95"/>
            <w:u w:val="single"/>
          </w:rPr>
          <w:t>https://education.nsw.gov.au/early-childhood-education/operating-an-early-childhood-education-</w:t>
        </w:r>
      </w:hyperlink>
      <w:r w:rsidRPr="00C93294">
        <w:rPr>
          <w:w w:val="95"/>
        </w:rPr>
        <w:t xml:space="preserve"> </w:t>
      </w:r>
      <w:hyperlink r:id="rId75">
        <w:r w:rsidRPr="00C93294">
          <w:rPr>
            <w:u w:val="single"/>
          </w:rPr>
          <w:t>service/grants-and-funded-programs/ngroo-walking-together-program</w:t>
        </w:r>
        <w:r w:rsidRPr="00C93294">
          <w:t xml:space="preserve"> </w:t>
        </w:r>
      </w:hyperlink>
      <w:r w:rsidRPr="00C93294">
        <w:t>viewed 24 August 2019.</w:t>
      </w:r>
    </w:p>
    <w:p w14:paraId="4F43D5E9" w14:textId="77777777" w:rsidR="00C93294" w:rsidRPr="00C93294" w:rsidRDefault="00C93294" w:rsidP="00322BF4">
      <w:pPr>
        <w:spacing w:before="59" w:line="276" w:lineRule="auto"/>
        <w:ind w:left="100" w:right="277"/>
      </w:pPr>
      <w:r w:rsidRPr="00C93294">
        <w:t xml:space="preserve">NSW Government (2011) </w:t>
      </w:r>
      <w:r w:rsidRPr="00C93294">
        <w:rPr>
          <w:i/>
        </w:rPr>
        <w:t xml:space="preserve">Review of NSW Government funding for early childhood education, </w:t>
      </w:r>
      <w:hyperlink r:id="rId76">
        <w:r w:rsidRPr="00C93294">
          <w:rPr>
            <w:u w:val="single"/>
          </w:rPr>
          <w:t>https://education.nsw.gov.au/about-us/strategies-and-reports/our-reports-and-reviews/funding-for-</w:t>
        </w:r>
      </w:hyperlink>
      <w:r w:rsidRPr="00C93294">
        <w:t xml:space="preserve"> </w:t>
      </w:r>
      <w:hyperlink r:id="rId77">
        <w:r w:rsidRPr="00C93294">
          <w:rPr>
            <w:u w:val="single"/>
          </w:rPr>
          <w:t>early-childhood-education-review/resources/early-childhood-funding.pdf</w:t>
        </w:r>
        <w:r w:rsidRPr="00C93294">
          <w:t xml:space="preserve"> </w:t>
        </w:r>
      </w:hyperlink>
      <w:r w:rsidRPr="00C93294">
        <w:t>viewed 17 July 2019.</w:t>
      </w:r>
    </w:p>
    <w:p w14:paraId="78723C42" w14:textId="77777777" w:rsidR="00C93294" w:rsidRPr="00C93294" w:rsidRDefault="00C93294" w:rsidP="00322BF4">
      <w:pPr>
        <w:spacing w:before="52" w:line="276" w:lineRule="auto"/>
        <w:ind w:left="100" w:right="247"/>
      </w:pPr>
      <w:r w:rsidRPr="00C93294">
        <w:t xml:space="preserve">O’Connell M, Fox S, Hinz B &amp; Cole H (2016) </w:t>
      </w:r>
      <w:r w:rsidRPr="00C93294">
        <w:rPr>
          <w:i/>
        </w:rPr>
        <w:t>Quality early education for all: Fostering, entrepreneurial resilient and capable leaders: Mitchell Institute policy paper No. 01/2016</w:t>
      </w:r>
      <w:r w:rsidRPr="00C93294">
        <w:t>. Melbourne: Mitchell Institute.</w:t>
      </w:r>
    </w:p>
    <w:p w14:paraId="517EB067" w14:textId="77777777" w:rsidR="00C93294" w:rsidRPr="00C93294" w:rsidRDefault="00C93294" w:rsidP="00322BF4">
      <w:pPr>
        <w:spacing w:before="57" w:line="276" w:lineRule="auto"/>
        <w:ind w:left="100" w:right="563"/>
        <w:jc w:val="both"/>
      </w:pPr>
      <w:r w:rsidRPr="00C93294">
        <w:t xml:space="preserve">O’Connor M, Gray S, Tarasuik J, O’Connor E, Kvalsvig A, Incledon E &amp; Goldfeld S (2016) ‘Preschool attendance trends in Australia: evidence from two sequential population cohorts’ </w:t>
      </w:r>
      <w:r w:rsidRPr="00C93294">
        <w:rPr>
          <w:i/>
        </w:rPr>
        <w:t>Early Childhood Research Quarterly</w:t>
      </w:r>
      <w:r w:rsidRPr="00C93294">
        <w:t>, 35(2), 31-9.</w:t>
      </w:r>
    </w:p>
    <w:p w14:paraId="04424626" w14:textId="77777777" w:rsidR="00C93294" w:rsidRPr="00C93294" w:rsidRDefault="00C93294" w:rsidP="00322BF4">
      <w:pPr>
        <w:spacing w:before="59" w:line="276" w:lineRule="auto"/>
        <w:ind w:left="100" w:right="544"/>
        <w:jc w:val="both"/>
      </w:pPr>
      <w:r w:rsidRPr="00C93294">
        <w:t xml:space="preserve">OECD (Organisation for Economic Co-operation) (2018) PF3.2 Enrolment in childcare and preschool, </w:t>
      </w:r>
      <w:hyperlink r:id="rId78">
        <w:r w:rsidRPr="00C93294">
          <w:rPr>
            <w:u w:val="single"/>
          </w:rPr>
          <w:t xml:space="preserve">http://www.oecd.org/els/family/database.htm </w:t>
        </w:r>
      </w:hyperlink>
      <w:r w:rsidRPr="00C93294">
        <w:rPr>
          <w:u w:val="single"/>
        </w:rPr>
        <w:t>viewed 17 July 2019.</w:t>
      </w:r>
    </w:p>
    <w:p w14:paraId="7D89D467" w14:textId="77777777" w:rsidR="00C93294" w:rsidRPr="00C93294" w:rsidRDefault="00C93294" w:rsidP="00322BF4">
      <w:pPr>
        <w:spacing w:before="59" w:line="276" w:lineRule="auto"/>
        <w:ind w:left="100" w:right="324"/>
      </w:pPr>
      <w:r w:rsidRPr="00C93294">
        <w:t xml:space="preserve">Pascoe S &amp; Brennan D (2017) </w:t>
      </w:r>
      <w:r w:rsidRPr="00C93294">
        <w:rPr>
          <w:i/>
        </w:rPr>
        <w:t xml:space="preserve">Lifting our game: Report on the review to achieve educational excellence in Australian schools through early childhood interventions. </w:t>
      </w:r>
      <w:r w:rsidRPr="00C93294">
        <w:t>Melbourne: Victorian Government.</w:t>
      </w:r>
    </w:p>
    <w:p w14:paraId="2BA660E4" w14:textId="77777777" w:rsidR="00C93294" w:rsidRPr="00C93294" w:rsidRDefault="00C93294" w:rsidP="00D50AAD">
      <w:pPr>
        <w:spacing w:before="54" w:line="276" w:lineRule="auto"/>
        <w:ind w:left="100" w:right="36"/>
      </w:pPr>
      <w:r w:rsidRPr="00C93294">
        <w:t xml:space="preserve">Productivity Commission (2019) </w:t>
      </w:r>
      <w:r w:rsidRPr="00C93294">
        <w:rPr>
          <w:i/>
        </w:rPr>
        <w:t xml:space="preserve">Report on Government Services 2018 Part B, Chapter 3: Early childhood education and care </w:t>
      </w:r>
      <w:r w:rsidRPr="00C93294">
        <w:t xml:space="preserve">and </w:t>
      </w:r>
      <w:r w:rsidRPr="00C93294">
        <w:rPr>
          <w:i/>
        </w:rPr>
        <w:t xml:space="preserve">Chapter 4: School education. </w:t>
      </w:r>
      <w:r w:rsidRPr="00C93294">
        <w:t>Canberra: SCRGSP.</w:t>
      </w:r>
    </w:p>
    <w:p w14:paraId="28DFCCD7" w14:textId="77777777" w:rsidR="00C93294" w:rsidRPr="00C93294" w:rsidRDefault="00C93294" w:rsidP="00322BF4">
      <w:pPr>
        <w:spacing w:before="61" w:line="276" w:lineRule="auto"/>
        <w:ind w:left="100" w:right="847"/>
      </w:pPr>
      <w:r w:rsidRPr="00C93294">
        <w:t xml:space="preserve">Productivity Commission (2016) </w:t>
      </w:r>
      <w:r w:rsidRPr="00C93294">
        <w:rPr>
          <w:i/>
        </w:rPr>
        <w:t xml:space="preserve">Report on Government Services 2016 Early childhood education and care. </w:t>
      </w:r>
      <w:r w:rsidRPr="00C93294">
        <w:t>Canberra: SCRGSP</w:t>
      </w:r>
    </w:p>
    <w:p w14:paraId="2CC22EEC" w14:textId="77777777" w:rsidR="00C93294" w:rsidRPr="00C93294" w:rsidRDefault="00C93294" w:rsidP="00322BF4">
      <w:pPr>
        <w:spacing w:before="61" w:line="276" w:lineRule="auto"/>
        <w:ind w:firstLine="100"/>
        <w:rPr>
          <w:i/>
        </w:rPr>
      </w:pPr>
      <w:r w:rsidRPr="00C93294">
        <w:t xml:space="preserve">Queensland Department of Education (2019) </w:t>
      </w:r>
      <w:r w:rsidRPr="00C93294">
        <w:rPr>
          <w:i/>
        </w:rPr>
        <w:t>Early childhood education and care,</w:t>
      </w:r>
    </w:p>
    <w:p w14:paraId="308ECCE8" w14:textId="77777777" w:rsidR="00C93294" w:rsidRPr="00C93294" w:rsidRDefault="00BA469C" w:rsidP="00322BF4">
      <w:pPr>
        <w:spacing w:before="3" w:line="276" w:lineRule="auto"/>
        <w:ind w:left="100"/>
      </w:pPr>
      <w:hyperlink r:id="rId79">
        <w:r w:rsidR="00C93294" w:rsidRPr="00C93294">
          <w:rPr>
            <w:u w:val="single"/>
          </w:rPr>
          <w:t>https://earlychildhood.qld.gov.au/</w:t>
        </w:r>
        <w:r w:rsidR="00C93294" w:rsidRPr="00C93294">
          <w:t xml:space="preserve"> </w:t>
        </w:r>
      </w:hyperlink>
      <w:r w:rsidR="00C93294" w:rsidRPr="00C93294">
        <w:t>viewed 22 October 2019.</w:t>
      </w:r>
    </w:p>
    <w:p w14:paraId="7157AA75" w14:textId="77777777" w:rsidR="00C93294" w:rsidRPr="00C93294" w:rsidRDefault="00C93294" w:rsidP="00322BF4">
      <w:pPr>
        <w:spacing w:before="56" w:line="276" w:lineRule="auto"/>
        <w:ind w:firstLine="100"/>
        <w:rPr>
          <w:i/>
        </w:rPr>
      </w:pPr>
      <w:r w:rsidRPr="00C93294">
        <w:t xml:space="preserve">Queensland Department of Education (2019) </w:t>
      </w:r>
      <w:r w:rsidRPr="00C93294">
        <w:rPr>
          <w:i/>
        </w:rPr>
        <w:t>Elders as story tellers: The story so far.</w:t>
      </w:r>
    </w:p>
    <w:p w14:paraId="4B3343F6" w14:textId="77777777" w:rsidR="00C93294" w:rsidRPr="00C93294" w:rsidRDefault="00C93294" w:rsidP="00322BF4">
      <w:pPr>
        <w:spacing w:before="3" w:line="276" w:lineRule="auto"/>
        <w:ind w:left="100"/>
      </w:pPr>
      <w:r w:rsidRPr="00C93294">
        <w:t>Brisbane: Queensland Department of Education.</w:t>
      </w:r>
    </w:p>
    <w:p w14:paraId="47D3018C" w14:textId="7CBD179D" w:rsidR="00D50AAD" w:rsidRDefault="00C93294" w:rsidP="00D50AAD">
      <w:pPr>
        <w:spacing w:before="58" w:line="276" w:lineRule="auto"/>
        <w:ind w:left="100" w:right="147"/>
      </w:pPr>
      <w:r w:rsidRPr="00C93294">
        <w:t xml:space="preserve">Queensland Government (2019) </w:t>
      </w:r>
      <w:r w:rsidRPr="00C93294">
        <w:rPr>
          <w:i/>
        </w:rPr>
        <w:t xml:space="preserve">Deadly kindies, </w:t>
      </w:r>
      <w:hyperlink r:id="rId80">
        <w:r w:rsidRPr="00C93294">
          <w:rPr>
            <w:u w:val="single"/>
          </w:rPr>
          <w:t>https://www.deadlykindies.com.au/</w:t>
        </w:r>
        <w:r w:rsidRPr="00C93294">
          <w:t xml:space="preserve"> </w:t>
        </w:r>
      </w:hyperlink>
      <w:r w:rsidR="00D50AAD">
        <w:t>viewed 15 August 2019.</w:t>
      </w:r>
    </w:p>
    <w:p w14:paraId="408E7BB3" w14:textId="0BD9FDD7" w:rsidR="00C93294" w:rsidRDefault="00C93294" w:rsidP="00D50AAD">
      <w:pPr>
        <w:spacing w:before="54" w:line="276" w:lineRule="auto"/>
        <w:ind w:left="100" w:right="36"/>
      </w:pPr>
      <w:r w:rsidRPr="00C93294">
        <w:t xml:space="preserve">Raising Children Network Australia (2019) </w:t>
      </w:r>
      <w:r w:rsidRPr="00C93294">
        <w:rPr>
          <w:i/>
        </w:rPr>
        <w:t xml:space="preserve">The Australian parenting website, </w:t>
      </w:r>
      <w:hyperlink r:id="rId81" w:history="1">
        <w:r w:rsidR="00D50AAD" w:rsidRPr="00FF3E3F">
          <w:rPr>
            <w:rStyle w:val="Hyperlink"/>
          </w:rPr>
          <w:t xml:space="preserve">https://raisingchildren.net.au/preschoolers/play-learning/preschool/preschool-in-your-state viewed </w:t>
        </w:r>
        <w:r w:rsidR="00BD38AC" w:rsidRPr="00FF3E3F">
          <w:rPr>
            <w:rStyle w:val="Hyperlink"/>
          </w:rPr>
          <w:t>17 July</w:t>
        </w:r>
        <w:r w:rsidR="00D50AAD" w:rsidRPr="00FF3E3F">
          <w:rPr>
            <w:rStyle w:val="Hyperlink"/>
          </w:rPr>
          <w:t xml:space="preserve"> 2019</w:t>
        </w:r>
      </w:hyperlink>
      <w:r w:rsidRPr="00C93294">
        <w:t>.</w:t>
      </w:r>
    </w:p>
    <w:p w14:paraId="2FFD4690" w14:textId="77777777" w:rsidR="00D50AAD" w:rsidRPr="00C93294" w:rsidRDefault="00D50AAD" w:rsidP="00D50AAD">
      <w:pPr>
        <w:spacing w:before="54" w:line="276" w:lineRule="auto"/>
        <w:ind w:left="100" w:right="36"/>
      </w:pPr>
    </w:p>
    <w:p w14:paraId="5D422603" w14:textId="77777777" w:rsidR="00B147FA" w:rsidRDefault="00B147FA" w:rsidP="00B147FA">
      <w:pPr>
        <w:spacing w:before="93" w:line="276" w:lineRule="auto"/>
        <w:ind w:right="147"/>
      </w:pPr>
    </w:p>
    <w:p w14:paraId="77A6C0AD" w14:textId="701B2AB4" w:rsidR="00D50AAD" w:rsidRPr="00C93294" w:rsidRDefault="00C93294" w:rsidP="00B147FA">
      <w:pPr>
        <w:spacing w:before="93" w:line="276" w:lineRule="auto"/>
        <w:ind w:left="100" w:right="147"/>
      </w:pPr>
      <w:r w:rsidRPr="00C93294">
        <w:t xml:space="preserve">SNAICC (Secretariat of National Aboriginal and Islander Child Care) (2019) </w:t>
      </w:r>
      <w:r w:rsidRPr="00C93294">
        <w:rPr>
          <w:i/>
        </w:rPr>
        <w:t xml:space="preserve">Ensuring Quality for Aboriginal and Torres Strait Islander Children in the Early Years. </w:t>
      </w:r>
      <w:r w:rsidRPr="00C93294">
        <w:t>North Fitzroy: SNAICC.</w:t>
      </w:r>
    </w:p>
    <w:p w14:paraId="0023B877" w14:textId="77777777" w:rsidR="00C93294" w:rsidRPr="00C93294" w:rsidRDefault="00C93294" w:rsidP="00322BF4">
      <w:pPr>
        <w:spacing w:before="93" w:line="276" w:lineRule="auto"/>
        <w:ind w:left="100" w:right="147"/>
      </w:pPr>
      <w:r w:rsidRPr="00C93294">
        <w:t xml:space="preserve">SNAICC (Secretariat of National Aboriginal and Islander Child Care) (2014) </w:t>
      </w:r>
      <w:r w:rsidRPr="00C93294">
        <w:rPr>
          <w:i/>
        </w:rPr>
        <w:t xml:space="preserve">The journey ‘to big school’: Supporting Aboriginal and Torres Strait Islander children’s transition to primary school. </w:t>
      </w:r>
      <w:r w:rsidRPr="00C93294">
        <w:t>North Fitzroy: SNAICC.</w:t>
      </w:r>
    </w:p>
    <w:p w14:paraId="75685C5C" w14:textId="77777777" w:rsidR="00C93294" w:rsidRPr="00C93294" w:rsidRDefault="00C93294" w:rsidP="00322BF4">
      <w:pPr>
        <w:spacing w:before="52" w:line="276" w:lineRule="auto"/>
        <w:ind w:left="100" w:right="318"/>
        <w:rPr>
          <w:u w:val="single"/>
        </w:rPr>
      </w:pPr>
      <w:r w:rsidRPr="00C93294">
        <w:t xml:space="preserve">South Australia Government (2019) </w:t>
      </w:r>
      <w:r w:rsidRPr="00C93294">
        <w:rPr>
          <w:i/>
        </w:rPr>
        <w:t xml:space="preserve">Preschool and kindergarten services, </w:t>
      </w:r>
      <w:hyperlink r:id="rId82">
        <w:r w:rsidRPr="00C93294">
          <w:rPr>
            <w:w w:val="95"/>
            <w:u w:val="single"/>
          </w:rPr>
          <w:t>https://www.sa.gov.au/topics/education-and-learning/early-childhood-education-and-care/preschool-</w:t>
        </w:r>
      </w:hyperlink>
      <w:r w:rsidRPr="00C93294">
        <w:rPr>
          <w:w w:val="95"/>
        </w:rPr>
        <w:t xml:space="preserve"> </w:t>
      </w:r>
      <w:hyperlink r:id="rId83">
        <w:r w:rsidRPr="00C93294">
          <w:rPr>
            <w:u w:val="single"/>
          </w:rPr>
          <w:t xml:space="preserve">and-kindergarten </w:t>
        </w:r>
      </w:hyperlink>
      <w:r w:rsidRPr="00C93294">
        <w:rPr>
          <w:u w:val="single"/>
        </w:rPr>
        <w:t>viewed 17 July 2019.</w:t>
      </w:r>
    </w:p>
    <w:p w14:paraId="3FAC18EE" w14:textId="77777777" w:rsidR="00C93294" w:rsidRPr="00C93294" w:rsidRDefault="00C93294" w:rsidP="00322BF4">
      <w:pPr>
        <w:spacing w:before="55" w:line="276" w:lineRule="auto"/>
        <w:ind w:left="100" w:right="141"/>
      </w:pPr>
      <w:r w:rsidRPr="00C93294">
        <w:t xml:space="preserve">Sylva K, Melhuish E, Sammons P, Siraj-Blatchford I &amp; Taggart B (2010) </w:t>
      </w:r>
      <w:r w:rsidRPr="00C93294">
        <w:rPr>
          <w:i/>
        </w:rPr>
        <w:t>Early childhood matters: evidence from the effective pre-school and primary education project</w:t>
      </w:r>
      <w:r w:rsidRPr="00C93294">
        <w:t xml:space="preserve">, Routledge. </w:t>
      </w:r>
    </w:p>
    <w:p w14:paraId="48452CB7" w14:textId="77777777" w:rsidR="00C93294" w:rsidRPr="00C93294" w:rsidRDefault="00C93294" w:rsidP="00322BF4">
      <w:pPr>
        <w:spacing w:before="55" w:line="276" w:lineRule="auto"/>
        <w:ind w:left="100" w:right="141"/>
      </w:pPr>
      <w:r w:rsidRPr="00C93294">
        <w:t xml:space="preserve">Sylva K, Melhuish E, Sammons P, Siraj-Blatchford I &amp; Taggart B (2004) </w:t>
      </w:r>
      <w:r w:rsidRPr="00C93294">
        <w:rPr>
          <w:i/>
        </w:rPr>
        <w:t>The effective provision of pre-school education (EPPE) project: Findings from pre-school to end of key stage 1</w:t>
      </w:r>
      <w:r w:rsidRPr="00C93294">
        <w:t xml:space="preserve">, </w:t>
      </w:r>
      <w:hyperlink r:id="rId84">
        <w:r w:rsidRPr="00C93294">
          <w:rPr>
            <w:u w:val="single"/>
          </w:rPr>
          <w:t>https://dera.ioe.ac.uk/8543/7/SSU-SF-2004-01.pdf</w:t>
        </w:r>
        <w:r w:rsidRPr="00C93294">
          <w:t xml:space="preserve"> </w:t>
        </w:r>
      </w:hyperlink>
      <w:r w:rsidRPr="00C93294">
        <w:t>viewed 10 June 2019.</w:t>
      </w:r>
    </w:p>
    <w:p w14:paraId="20D1428C" w14:textId="77777777" w:rsidR="00C93294" w:rsidRPr="00C93294" w:rsidRDefault="00C93294" w:rsidP="00322BF4">
      <w:pPr>
        <w:spacing w:before="52" w:line="276" w:lineRule="auto"/>
        <w:ind w:firstLine="100"/>
        <w:rPr>
          <w:i/>
        </w:rPr>
      </w:pPr>
      <w:r w:rsidRPr="00C93294">
        <w:t xml:space="preserve">Tasmania Department of Education (2019) </w:t>
      </w:r>
      <w:r w:rsidRPr="00C93294">
        <w:rPr>
          <w:i/>
        </w:rPr>
        <w:t>B4: Early Years Coalition,</w:t>
      </w:r>
    </w:p>
    <w:p w14:paraId="16F2B513" w14:textId="77777777" w:rsidR="00C93294" w:rsidRPr="00C93294" w:rsidRDefault="00BA469C" w:rsidP="00322BF4">
      <w:pPr>
        <w:spacing w:before="3" w:line="276" w:lineRule="auto"/>
        <w:ind w:left="100"/>
      </w:pPr>
      <w:hyperlink r:id="rId85">
        <w:r w:rsidR="00C93294" w:rsidRPr="00C93294">
          <w:rPr>
            <w:u w:val="single"/>
          </w:rPr>
          <w:t>https://b4.education.tas.gov.au/</w:t>
        </w:r>
        <w:r w:rsidR="00C93294" w:rsidRPr="00C93294">
          <w:t xml:space="preserve"> </w:t>
        </w:r>
      </w:hyperlink>
      <w:r w:rsidR="00C93294" w:rsidRPr="00C93294">
        <w:t>viewed 5 August 2019.</w:t>
      </w:r>
    </w:p>
    <w:p w14:paraId="781966ED" w14:textId="77777777" w:rsidR="00C93294" w:rsidRPr="00C93294" w:rsidRDefault="00C93294" w:rsidP="00322BF4">
      <w:pPr>
        <w:spacing w:before="58" w:line="276" w:lineRule="auto"/>
        <w:ind w:left="100" w:right="180"/>
      </w:pPr>
      <w:r w:rsidRPr="00C93294">
        <w:t xml:space="preserve">Tasmania Department of Education (2019) </w:t>
      </w:r>
      <w:r w:rsidRPr="00C93294">
        <w:rPr>
          <w:i/>
        </w:rPr>
        <w:t xml:space="preserve">Great start, </w:t>
      </w:r>
      <w:hyperlink r:id="rId86">
        <w:r w:rsidRPr="00C93294">
          <w:rPr>
            <w:u w:val="single"/>
          </w:rPr>
          <w:t>https://greatstart.tas.gov.au/</w:t>
        </w:r>
        <w:r w:rsidRPr="00C93294">
          <w:t xml:space="preserve"> </w:t>
        </w:r>
      </w:hyperlink>
      <w:r w:rsidRPr="00C93294">
        <w:t>viewed 23 October 2019.</w:t>
      </w:r>
    </w:p>
    <w:p w14:paraId="0463824A" w14:textId="77777777" w:rsidR="00B147FA" w:rsidRDefault="00C93294" w:rsidP="00322BF4">
      <w:pPr>
        <w:spacing w:before="58" w:line="276" w:lineRule="auto"/>
        <w:ind w:left="100" w:right="180"/>
      </w:pPr>
      <w:r w:rsidRPr="00C93294">
        <w:t xml:space="preserve">The Front Project (2019) </w:t>
      </w:r>
      <w:r w:rsidRPr="00C93294">
        <w:rPr>
          <w:i/>
        </w:rPr>
        <w:t xml:space="preserve">A Smart Investment for a Smarter Australia: Australia’s Frist Economic Analysis of Early Childhood Education in the Year Before School, </w:t>
      </w:r>
      <w:hyperlink r:id="rId87" w:tgtFrame="_blank" w:tooltip="https://www.thefrontproject.org.au/images/downloads/eco_analysis_full_report.pdf" w:history="1">
        <w:r w:rsidRPr="00C93294">
          <w:rPr>
            <w:color w:val="000000"/>
            <w:u w:val="single"/>
          </w:rPr>
          <w:t>https://www.thefrontproject.org.au/images/downloads/ECO_ANALYSIS_Full_Report.pdf</w:t>
        </w:r>
      </w:hyperlink>
      <w:r w:rsidR="00B147FA">
        <w:t> </w:t>
      </w:r>
    </w:p>
    <w:p w14:paraId="018E87D0" w14:textId="7CA9425A" w:rsidR="00C93294" w:rsidRPr="00C93294" w:rsidRDefault="00B147FA" w:rsidP="00322BF4">
      <w:pPr>
        <w:spacing w:before="58" w:line="276" w:lineRule="auto"/>
        <w:ind w:left="100" w:right="180"/>
      </w:pPr>
      <w:r>
        <w:t>vie</w:t>
      </w:r>
      <w:r w:rsidR="00C93294" w:rsidRPr="00C93294">
        <w:t>wed 23 November 2019.</w:t>
      </w:r>
    </w:p>
    <w:p w14:paraId="53FCF7D3" w14:textId="77777777" w:rsidR="00C93294" w:rsidRPr="00C93294" w:rsidRDefault="00C93294" w:rsidP="00322BF4">
      <w:pPr>
        <w:spacing w:before="58" w:line="276" w:lineRule="auto"/>
        <w:ind w:left="100" w:right="247"/>
      </w:pPr>
      <w:r w:rsidRPr="00C93294">
        <w:t xml:space="preserve">Vandell D, Belsky J, Burchinal M, Vandergrift N &amp; Steinberg L (2010) ‘Do effects of early child care extend to age 15 years? Results from the NICHD Study of Early Child Care and Youth Development’ </w:t>
      </w:r>
      <w:r w:rsidRPr="00C93294">
        <w:rPr>
          <w:i/>
        </w:rPr>
        <w:t xml:space="preserve">Child Development </w:t>
      </w:r>
      <w:r w:rsidRPr="00C93294">
        <w:t>81(3),</w:t>
      </w:r>
      <w:r w:rsidRPr="00C93294">
        <w:rPr>
          <w:spacing w:val="-4"/>
        </w:rPr>
        <w:t xml:space="preserve"> </w:t>
      </w:r>
      <w:r w:rsidRPr="00C93294">
        <w:t>737-56.</w:t>
      </w:r>
    </w:p>
    <w:p w14:paraId="2ABC3B83" w14:textId="7B028C50" w:rsidR="00C93294" w:rsidRPr="00C93294" w:rsidRDefault="00C93294" w:rsidP="00D50AAD">
      <w:pPr>
        <w:spacing w:before="57" w:line="276" w:lineRule="auto"/>
        <w:ind w:left="100" w:right="36"/>
      </w:pPr>
      <w:r w:rsidRPr="00C93294">
        <w:t xml:space="preserve">Victoria Department of Education (2019) </w:t>
      </w:r>
      <w:r w:rsidRPr="00C93294">
        <w:rPr>
          <w:i/>
        </w:rPr>
        <w:t xml:space="preserve">Kindergarten programs, </w:t>
      </w:r>
      <w:hyperlink r:id="rId88" w:anchor="link39">
        <w:r w:rsidRPr="00C93294">
          <w:rPr>
            <w:w w:val="95"/>
            <w:u w:val="single"/>
          </w:rPr>
          <w:t>https://www.education.vic.gov.au/parents/child-care-kindergarten/Pages/kindergarten-</w:t>
        </w:r>
      </w:hyperlink>
      <w:r w:rsidRPr="00C93294">
        <w:rPr>
          <w:w w:val="95"/>
        </w:rPr>
        <w:t xml:space="preserve"> </w:t>
      </w:r>
      <w:hyperlink r:id="rId89" w:anchor="link39">
        <w:r w:rsidRPr="00C93294">
          <w:rPr>
            <w:u w:val="single"/>
          </w:rPr>
          <w:t>programs.aspx#link39</w:t>
        </w:r>
        <w:r w:rsidRPr="00C93294">
          <w:t xml:space="preserve"> </w:t>
        </w:r>
      </w:hyperlink>
      <w:r w:rsidR="00D50AAD">
        <w:t xml:space="preserve">viewed 10 October </w:t>
      </w:r>
      <w:r w:rsidRPr="00C93294">
        <w:t>2019.</w:t>
      </w:r>
    </w:p>
    <w:p w14:paraId="1243D813" w14:textId="77777777" w:rsidR="00C93294" w:rsidRPr="00C93294" w:rsidRDefault="00C93294" w:rsidP="00322BF4">
      <w:pPr>
        <w:spacing w:before="55" w:line="276" w:lineRule="auto"/>
        <w:ind w:left="100" w:right="462"/>
      </w:pPr>
      <w:r w:rsidRPr="00C93294">
        <w:t xml:space="preserve">Victoria Department of Education (2018) </w:t>
      </w:r>
      <w:r w:rsidRPr="00C93294">
        <w:rPr>
          <w:i/>
        </w:rPr>
        <w:t xml:space="preserve">Why Koorie kids shine at kinder, </w:t>
      </w:r>
      <w:hyperlink r:id="rId90">
        <w:r w:rsidRPr="00C93294">
          <w:rPr>
            <w:w w:val="95"/>
            <w:u w:val="single"/>
          </w:rPr>
          <w:t>https://www.education.vic.gov.au/about/news/Pages/stories/2017/stories_whykooriekidsshineatkinder.</w:t>
        </w:r>
      </w:hyperlink>
      <w:r w:rsidRPr="00C93294">
        <w:rPr>
          <w:w w:val="95"/>
        </w:rPr>
        <w:t xml:space="preserve"> </w:t>
      </w:r>
      <w:hyperlink r:id="rId91">
        <w:r w:rsidRPr="00C93294">
          <w:rPr>
            <w:u w:val="single"/>
          </w:rPr>
          <w:t>aspx</w:t>
        </w:r>
        <w:r w:rsidRPr="00C93294">
          <w:t xml:space="preserve"> </w:t>
        </w:r>
      </w:hyperlink>
      <w:r w:rsidRPr="00C93294">
        <w:t>viewed 24 October</w:t>
      </w:r>
      <w:r w:rsidRPr="00C93294">
        <w:rPr>
          <w:spacing w:val="1"/>
        </w:rPr>
        <w:t xml:space="preserve"> </w:t>
      </w:r>
      <w:r w:rsidRPr="00C93294">
        <w:t>2019.</w:t>
      </w:r>
    </w:p>
    <w:p w14:paraId="4FC50F51" w14:textId="77777777" w:rsidR="00C93294" w:rsidRPr="00C93294" w:rsidRDefault="00C93294" w:rsidP="00322BF4">
      <w:pPr>
        <w:spacing w:before="61" w:line="276" w:lineRule="auto"/>
        <w:ind w:firstLine="100"/>
      </w:pPr>
      <w:r w:rsidRPr="00C93294">
        <w:t>Watt L (2016) ‘Engaging hard to reach families: Learning from five outstanding schools’</w:t>
      </w:r>
    </w:p>
    <w:p w14:paraId="55E97C07" w14:textId="77777777" w:rsidR="00C93294" w:rsidRPr="00C93294" w:rsidRDefault="00C93294" w:rsidP="00322BF4">
      <w:pPr>
        <w:spacing w:line="276" w:lineRule="auto"/>
        <w:ind w:left="100"/>
      </w:pPr>
      <w:r w:rsidRPr="00C93294">
        <w:rPr>
          <w:i/>
        </w:rPr>
        <w:t>Education 3-13</w:t>
      </w:r>
      <w:r w:rsidRPr="00C93294">
        <w:t>, 44(1), 32-43.</w:t>
      </w:r>
    </w:p>
    <w:p w14:paraId="7947FE11" w14:textId="77777777" w:rsidR="00C93294" w:rsidRPr="00C93294" w:rsidRDefault="00C93294" w:rsidP="00322BF4">
      <w:pPr>
        <w:spacing w:before="60" w:line="276" w:lineRule="auto"/>
        <w:ind w:firstLine="100"/>
        <w:rPr>
          <w:i/>
        </w:rPr>
      </w:pPr>
      <w:r w:rsidRPr="00C93294">
        <w:t xml:space="preserve">Western Australia Department of Education (2019) </w:t>
      </w:r>
      <w:r w:rsidRPr="00C93294">
        <w:rPr>
          <w:i/>
        </w:rPr>
        <w:t>Child and Parent Centres,</w:t>
      </w:r>
    </w:p>
    <w:p w14:paraId="59EAD719" w14:textId="3A63F1F6" w:rsidR="00C93294" w:rsidRPr="00C93294" w:rsidRDefault="00BA469C" w:rsidP="00322BF4">
      <w:pPr>
        <w:spacing w:before="3" w:line="276" w:lineRule="auto"/>
        <w:ind w:left="724" w:right="36" w:hanging="624"/>
      </w:pPr>
      <w:hyperlink r:id="rId92">
        <w:r w:rsidR="00C93294" w:rsidRPr="00C93294">
          <w:rPr>
            <w:u w:val="single"/>
          </w:rPr>
          <w:t>https://childandparentcentres.wa.edu.au/</w:t>
        </w:r>
        <w:r w:rsidR="00C93294" w:rsidRPr="00C93294">
          <w:t xml:space="preserve"> </w:t>
        </w:r>
      </w:hyperlink>
      <w:r w:rsidR="00322BF4">
        <w:t>viewed 28 October 2019.</w:t>
      </w:r>
    </w:p>
    <w:p w14:paraId="214ABCEA" w14:textId="77777777" w:rsidR="00C93294" w:rsidRPr="00C93294" w:rsidRDefault="00C93294" w:rsidP="00322BF4">
      <w:pPr>
        <w:spacing w:before="3" w:line="276" w:lineRule="auto"/>
        <w:ind w:left="724" w:right="3103" w:hanging="624"/>
        <w:rPr>
          <w:i/>
        </w:rPr>
      </w:pPr>
      <w:r w:rsidRPr="00C93294">
        <w:t xml:space="preserve">Western Australia Department of Education (2019) </w:t>
      </w:r>
      <w:r w:rsidRPr="00C93294">
        <w:rPr>
          <w:i/>
        </w:rPr>
        <w:t>KindiLink,</w:t>
      </w:r>
    </w:p>
    <w:p w14:paraId="4B3E26E3" w14:textId="77777777" w:rsidR="00C93294" w:rsidRPr="00322BF4" w:rsidRDefault="00BA469C" w:rsidP="00322BF4">
      <w:pPr>
        <w:spacing w:line="276" w:lineRule="auto"/>
        <w:ind w:left="100"/>
      </w:pPr>
      <w:hyperlink r:id="rId93">
        <w:r w:rsidR="00C93294" w:rsidRPr="00322BF4">
          <w:rPr>
            <w:u w:val="single"/>
          </w:rPr>
          <w:t>https://www.education.wa.edu.au/kindilink</w:t>
        </w:r>
        <w:r w:rsidR="00C93294" w:rsidRPr="00322BF4">
          <w:t xml:space="preserve"> viewed 28 October 2019.</w:t>
        </w:r>
      </w:hyperlink>
    </w:p>
    <w:p w14:paraId="2A66B00D" w14:textId="77777777" w:rsidR="00C93294" w:rsidRPr="00C93294" w:rsidRDefault="00C93294" w:rsidP="00322BF4">
      <w:pPr>
        <w:spacing w:before="59" w:line="276" w:lineRule="auto"/>
        <w:ind w:left="100"/>
      </w:pPr>
      <w:r w:rsidRPr="00C93294">
        <w:t xml:space="preserve">Western Australia Department of Education (2015) </w:t>
      </w:r>
      <w:r w:rsidRPr="00C93294">
        <w:rPr>
          <w:i/>
        </w:rPr>
        <w:t>On</w:t>
      </w:r>
      <w:r w:rsidRPr="00C93294">
        <w:rPr>
          <w:rFonts w:ascii="Cambria Math" w:hAnsi="Cambria Math" w:cs="Cambria Math"/>
          <w:i/>
        </w:rPr>
        <w:t>‐</w:t>
      </w:r>
      <w:r w:rsidRPr="00C93294">
        <w:rPr>
          <w:i/>
        </w:rPr>
        <w:t>entry assessment program: Key messages for pre</w:t>
      </w:r>
      <w:r w:rsidRPr="00C93294">
        <w:rPr>
          <w:rFonts w:ascii="Cambria Math" w:hAnsi="Cambria Math" w:cs="Cambria Math"/>
          <w:i/>
        </w:rPr>
        <w:t>‐</w:t>
      </w:r>
      <w:r w:rsidRPr="00C93294">
        <w:rPr>
          <w:i/>
        </w:rPr>
        <w:t>primary parents</w:t>
      </w:r>
      <w:r w:rsidRPr="00C93294">
        <w:t>. Perth: Department of Education Western Australia.</w:t>
      </w:r>
    </w:p>
    <w:p w14:paraId="407CB78B" w14:textId="77777777" w:rsidR="00C93294" w:rsidRPr="00C93294" w:rsidRDefault="00C93294" w:rsidP="00322BF4">
      <w:pPr>
        <w:spacing w:before="57" w:line="276" w:lineRule="auto"/>
        <w:ind w:firstLine="100"/>
      </w:pPr>
      <w:r w:rsidRPr="00C93294">
        <w:t>Wilder S (2014) ‘Effects of parental involvement on academic achievement: A meta-synthesis’</w:t>
      </w:r>
    </w:p>
    <w:p w14:paraId="0B9A1AA7" w14:textId="77777777" w:rsidR="00C93294" w:rsidRPr="00C93294" w:rsidRDefault="00C93294" w:rsidP="00322BF4">
      <w:pPr>
        <w:spacing w:line="276" w:lineRule="auto"/>
        <w:ind w:left="100"/>
      </w:pPr>
      <w:r w:rsidRPr="00C93294">
        <w:rPr>
          <w:i/>
        </w:rPr>
        <w:t xml:space="preserve">Educational Review, </w:t>
      </w:r>
      <w:r w:rsidRPr="00C93294">
        <w:t>66(3), 377-97.</w:t>
      </w:r>
    </w:p>
    <w:p w14:paraId="3C2AB431" w14:textId="7BC3D07A" w:rsidR="007462AE" w:rsidRDefault="00C93294" w:rsidP="00F953E3">
      <w:pPr>
        <w:spacing w:before="63" w:line="276" w:lineRule="auto"/>
        <w:ind w:left="100" w:right="213"/>
      </w:pPr>
      <w:r w:rsidRPr="00C93294">
        <w:t xml:space="preserve">Williams K E, Berthelsen D, Viviani M, &amp; Nicholson J M (2017) ‘Participation of Australian Aboriginal and Torres Strait Islander families in a parent support programme: Longitudinal associations between playgroup attendance and child, parent and community outcomes’ </w:t>
      </w:r>
      <w:r w:rsidRPr="00C93294">
        <w:rPr>
          <w:i/>
        </w:rPr>
        <w:t>Child: Care, Health and Development</w:t>
      </w:r>
      <w:r w:rsidRPr="00C93294">
        <w:t>, 43(3), 441–50.</w:t>
      </w:r>
    </w:p>
    <w:sectPr w:rsidR="007462AE">
      <w:pgSz w:w="11910" w:h="16840"/>
      <w:pgMar w:top="1700" w:right="1320" w:bottom="920" w:left="1340" w:header="567"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FC634" w14:textId="77777777" w:rsidR="001733E9" w:rsidRDefault="001733E9">
      <w:r>
        <w:separator/>
      </w:r>
    </w:p>
  </w:endnote>
  <w:endnote w:type="continuationSeparator" w:id="0">
    <w:p w14:paraId="3A788CB6" w14:textId="77777777" w:rsidR="001733E9" w:rsidRDefault="001733E9">
      <w:r>
        <w:continuationSeparator/>
      </w:r>
    </w:p>
  </w:endnote>
  <w:endnote w:type="continuationNotice" w:id="1">
    <w:p w14:paraId="49AE542F" w14:textId="77777777" w:rsidR="001733E9" w:rsidRDefault="00173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stem">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0502" w14:textId="651637BF" w:rsidR="00BA469C" w:rsidRDefault="00BA469C">
    <w:pPr>
      <w:pStyle w:val="BodyText"/>
      <w:spacing w:line="14" w:lineRule="auto"/>
      <w:rPr>
        <w:sz w:val="20"/>
      </w:rPr>
    </w:pPr>
    <w:r>
      <w:rPr>
        <w:noProof/>
        <w:lang w:bidi="ar-SA"/>
      </w:rPr>
      <mc:AlternateContent>
        <mc:Choice Requires="wps">
          <w:drawing>
            <wp:anchor distT="0" distB="0" distL="114300" distR="114300" simplePos="0" relativeHeight="248997888" behindDoc="1" locked="0" layoutInCell="1" allowOverlap="1" wp14:anchorId="716D0DA7" wp14:editId="7C1DC249">
              <wp:simplePos x="0" y="0"/>
              <wp:positionH relativeFrom="page">
                <wp:posOffset>705393</wp:posOffset>
              </wp:positionH>
              <wp:positionV relativeFrom="page">
                <wp:posOffset>10136776</wp:posOffset>
              </wp:positionV>
              <wp:extent cx="2801983" cy="162651"/>
              <wp:effectExtent l="0" t="0" r="17780" b="889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983" cy="16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1D9D1" w14:textId="5C4491DC" w:rsidR="00BA469C" w:rsidRDefault="00BA469C">
                          <w:pPr>
                            <w:spacing w:before="14"/>
                            <w:ind w:left="20"/>
                            <w:rPr>
                              <w:sz w:val="18"/>
                            </w:rPr>
                          </w:pPr>
                          <w:r>
                            <w:rPr>
                              <w:color w:val="00255B"/>
                              <w:sz w:val="18"/>
                            </w:rPr>
                            <w:t>The Smith Family | Small Steps, Big Futures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D0DA7" id="_x0000_t202" coordsize="21600,21600" o:spt="202" path="m,l,21600r21600,l21600,xe">
              <v:stroke joinstyle="miter"/>
              <v:path gradientshapeok="t" o:connecttype="rect"/>
            </v:shapetype>
            <v:shape id="Text Box 16" o:spid="_x0000_s1026" type="#_x0000_t202" style="position:absolute;margin-left:55.55pt;margin-top:798.15pt;width:220.65pt;height:12.8pt;z-index:-2543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Z2rwIAAKs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" filled="f" stroked="f">
              <v:textbox inset="0,0,0,0">
                <w:txbxContent>
                  <w:p w14:paraId="56A1D9D1" w14:textId="5C4491DC" w:rsidR="00BA469C" w:rsidRDefault="00BA469C">
                    <w:pPr>
                      <w:spacing w:before="14"/>
                      <w:ind w:left="20"/>
                      <w:rPr>
                        <w:sz w:val="18"/>
                      </w:rPr>
                    </w:pPr>
                    <w:r>
                      <w:rPr>
                        <w:color w:val="00255B"/>
                        <w:sz w:val="18"/>
                      </w:rPr>
                      <w:t>The Smith Family | Small Steps, Big Futures Report</w:t>
                    </w:r>
                  </w:p>
                </w:txbxContent>
              </v:textbox>
              <w10:wrap anchorx="page" anchory="page"/>
            </v:shape>
          </w:pict>
        </mc:Fallback>
      </mc:AlternateContent>
    </w:r>
    <w:r>
      <w:rPr>
        <w:noProof/>
        <w:lang w:bidi="ar-SA"/>
      </w:rPr>
      <mc:AlternateContent>
        <mc:Choice Requires="wps">
          <w:drawing>
            <wp:anchor distT="0" distB="0" distL="114300" distR="114300" simplePos="0" relativeHeight="248996864" behindDoc="1" locked="0" layoutInCell="1" allowOverlap="1" wp14:anchorId="5FF9137A" wp14:editId="2065774D">
              <wp:simplePos x="0" y="0"/>
              <wp:positionH relativeFrom="page">
                <wp:posOffset>6943090</wp:posOffset>
              </wp:positionH>
              <wp:positionV relativeFrom="page">
                <wp:posOffset>10118090</wp:posOffset>
              </wp:positionV>
              <wp:extent cx="154305" cy="182245"/>
              <wp:effectExtent l="0" t="0" r="0"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97F79" w14:textId="76839B24" w:rsidR="00BA469C" w:rsidRDefault="00BA469C">
                          <w:pPr>
                            <w:pStyle w:val="BodyText"/>
                            <w:spacing w:before="13"/>
                            <w:ind w:left="60"/>
                          </w:pPr>
                          <w:r>
                            <w:fldChar w:fldCharType="begin"/>
                          </w:r>
                          <w:r>
                            <w:rPr>
                              <w:color w:val="00255B"/>
                            </w:rPr>
                            <w:instrText xml:space="preserve"> PAGE </w:instrText>
                          </w:r>
                          <w:r>
                            <w:fldChar w:fldCharType="separate"/>
                          </w:r>
                          <w:r w:rsidR="00606107">
                            <w:rPr>
                              <w:noProof/>
                              <w:color w:val="00255B"/>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9137A" id="Text Box 17" o:spid="_x0000_s1027" type="#_x0000_t202" style="position:absolute;margin-left:546.7pt;margin-top:796.7pt;width:12.15pt;height:14.35pt;z-index:-2543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DR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" filled="f" stroked="f">
              <v:textbox inset="0,0,0,0">
                <w:txbxContent>
                  <w:p w14:paraId="1D297F79" w14:textId="76839B24" w:rsidR="00BA469C" w:rsidRDefault="00BA469C">
                    <w:pPr>
                      <w:pStyle w:val="BodyText"/>
                      <w:spacing w:before="13"/>
                      <w:ind w:left="60"/>
                    </w:pPr>
                    <w:r>
                      <w:fldChar w:fldCharType="begin"/>
                    </w:r>
                    <w:r>
                      <w:rPr>
                        <w:color w:val="00255B"/>
                      </w:rPr>
                      <w:instrText xml:space="preserve"> PAGE </w:instrText>
                    </w:r>
                    <w:r>
                      <w:fldChar w:fldCharType="separate"/>
                    </w:r>
                    <w:r w:rsidR="00606107">
                      <w:rPr>
                        <w:noProof/>
                        <w:color w:val="00255B"/>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F86C8" w14:textId="22FF4048" w:rsidR="00BA469C" w:rsidRDefault="00BA469C">
    <w:pPr>
      <w:pStyle w:val="BodyText"/>
      <w:spacing w:line="14" w:lineRule="auto"/>
      <w:rPr>
        <w:sz w:val="20"/>
      </w:rPr>
    </w:pPr>
    <w:r>
      <w:rPr>
        <w:noProof/>
        <w:lang w:bidi="ar-SA"/>
      </w:rPr>
      <mc:AlternateContent>
        <mc:Choice Requires="wps">
          <w:drawing>
            <wp:anchor distT="0" distB="0" distL="114300" distR="114300" simplePos="0" relativeHeight="249004032" behindDoc="1" locked="0" layoutInCell="1" allowOverlap="1" wp14:anchorId="7EDC4D1E" wp14:editId="0015AE94">
              <wp:simplePos x="0" y="0"/>
              <wp:positionH relativeFrom="page">
                <wp:posOffset>731520</wp:posOffset>
              </wp:positionH>
              <wp:positionV relativeFrom="page">
                <wp:posOffset>10293531</wp:posOffset>
              </wp:positionV>
              <wp:extent cx="2880360" cy="189412"/>
              <wp:effectExtent l="0" t="0" r="15240" b="127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189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E4F91" w14:textId="3C0614EB" w:rsidR="00BA469C" w:rsidRDefault="00BA469C">
                          <w:pPr>
                            <w:spacing w:before="14"/>
                            <w:ind w:left="20"/>
                            <w:rPr>
                              <w:sz w:val="18"/>
                            </w:rPr>
                          </w:pPr>
                          <w:r>
                            <w:rPr>
                              <w:color w:val="00255B"/>
                              <w:sz w:val="18"/>
                            </w:rPr>
                            <w:t>The Smith Family | Small Steps, Big Futures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C4D1E" id="_x0000_t202" coordsize="21600,21600" o:spt="202" path="m,l,21600r21600,l21600,xe">
              <v:stroke joinstyle="miter"/>
              <v:path gradientshapeok="t" o:connecttype="rect"/>
            </v:shapetype>
            <v:shape id="Text Box 11" o:spid="_x0000_s1029" type="#_x0000_t202" style="position:absolute;margin-left:57.6pt;margin-top:810.5pt;width:226.8pt;height:14.9pt;z-index:-2543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zYsAIAALI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" filled="f" stroked="f">
              <v:textbox inset="0,0,0,0">
                <w:txbxContent>
                  <w:p w14:paraId="491E4F91" w14:textId="3C0614EB" w:rsidR="00BA469C" w:rsidRDefault="00BA469C">
                    <w:pPr>
                      <w:spacing w:before="14"/>
                      <w:ind w:left="20"/>
                      <w:rPr>
                        <w:sz w:val="18"/>
                      </w:rPr>
                    </w:pPr>
                    <w:r>
                      <w:rPr>
                        <w:color w:val="00255B"/>
                        <w:sz w:val="18"/>
                      </w:rPr>
                      <w:t>The Smith Family | Small Steps, Big Futures Report</w:t>
                    </w:r>
                  </w:p>
                </w:txbxContent>
              </v:textbox>
              <w10:wrap anchorx="page" anchory="page"/>
            </v:shape>
          </w:pict>
        </mc:Fallback>
      </mc:AlternateContent>
    </w:r>
    <w:r>
      <w:rPr>
        <w:noProof/>
        <w:lang w:bidi="ar-SA"/>
      </w:rPr>
      <mc:AlternateContent>
        <mc:Choice Requires="wps">
          <w:drawing>
            <wp:anchor distT="0" distB="0" distL="114300" distR="114300" simplePos="0" relativeHeight="249003008" behindDoc="1" locked="0" layoutInCell="1" allowOverlap="1" wp14:anchorId="2EA80533" wp14:editId="655F8BB5">
              <wp:simplePos x="0" y="0"/>
              <wp:positionH relativeFrom="page">
                <wp:posOffset>6852285</wp:posOffset>
              </wp:positionH>
              <wp:positionV relativeFrom="page">
                <wp:posOffset>10236621</wp:posOffset>
              </wp:positionV>
              <wp:extent cx="203944" cy="134636"/>
              <wp:effectExtent l="0" t="0" r="5715" b="1778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3944" cy="134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1DF8B" w14:textId="75B0D130" w:rsidR="00BA469C" w:rsidRDefault="00BA469C">
                          <w:pPr>
                            <w:pStyle w:val="BodyText"/>
                            <w:spacing w:before="13"/>
                            <w:ind w:left="60"/>
                          </w:pPr>
                          <w:r>
                            <w:fldChar w:fldCharType="begin"/>
                          </w:r>
                          <w:r>
                            <w:rPr>
                              <w:color w:val="00255B"/>
                            </w:rPr>
                            <w:instrText xml:space="preserve"> PAGE </w:instrText>
                          </w:r>
                          <w:r>
                            <w:fldChar w:fldCharType="separate"/>
                          </w:r>
                          <w:r w:rsidR="00606107">
                            <w:rPr>
                              <w:noProof/>
                              <w:color w:val="00255B"/>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80533" id="Text Box 12" o:spid="_x0000_s1030" type="#_x0000_t202" style="position:absolute;margin-left:539.55pt;margin-top:806.05pt;width:16.05pt;height:10.6pt;flip:y;z-index:-2543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" filled="f" stroked="f">
              <v:textbox inset="0,0,0,0">
                <w:txbxContent>
                  <w:p w14:paraId="2451DF8B" w14:textId="75B0D130" w:rsidR="00BA469C" w:rsidRDefault="00BA469C">
                    <w:pPr>
                      <w:pStyle w:val="BodyText"/>
                      <w:spacing w:before="13"/>
                      <w:ind w:left="60"/>
                    </w:pPr>
                    <w:r>
                      <w:fldChar w:fldCharType="begin"/>
                    </w:r>
                    <w:r>
                      <w:rPr>
                        <w:color w:val="00255B"/>
                      </w:rPr>
                      <w:instrText xml:space="preserve"> PAGE </w:instrText>
                    </w:r>
                    <w:r>
                      <w:fldChar w:fldCharType="separate"/>
                    </w:r>
                    <w:r w:rsidR="00606107">
                      <w:rPr>
                        <w:noProof/>
                        <w:color w:val="00255B"/>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D630" w14:textId="46C927D1" w:rsidR="00BA469C" w:rsidRDefault="00BA469C">
    <w:pPr>
      <w:pStyle w:val="BodyText"/>
      <w:spacing w:line="14" w:lineRule="auto"/>
      <w:rPr>
        <w:sz w:val="20"/>
      </w:rPr>
    </w:pPr>
    <w:r>
      <w:rPr>
        <w:noProof/>
        <w:lang w:bidi="ar-SA"/>
      </w:rPr>
      <mc:AlternateContent>
        <mc:Choice Requires="wps">
          <w:drawing>
            <wp:anchor distT="0" distB="0" distL="114300" distR="114300" simplePos="0" relativeHeight="249009152" behindDoc="1" locked="0" layoutInCell="1" allowOverlap="1" wp14:anchorId="207DB771" wp14:editId="46CACC1F">
              <wp:simplePos x="0" y="0"/>
              <wp:positionH relativeFrom="page">
                <wp:posOffset>842554</wp:posOffset>
              </wp:positionH>
              <wp:positionV relativeFrom="page">
                <wp:posOffset>6975566</wp:posOffset>
              </wp:positionV>
              <wp:extent cx="2736669" cy="193130"/>
              <wp:effectExtent l="0" t="0" r="6985" b="1651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669" cy="19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E57DA" w14:textId="07AEC2BA" w:rsidR="00BA469C" w:rsidRDefault="00BA469C">
                          <w:pPr>
                            <w:spacing w:before="14"/>
                            <w:ind w:left="20"/>
                            <w:rPr>
                              <w:sz w:val="18"/>
                            </w:rPr>
                          </w:pPr>
                          <w:r>
                            <w:rPr>
                              <w:color w:val="00255B"/>
                              <w:sz w:val="18"/>
                            </w:rPr>
                            <w:t xml:space="preserve">The Smith Family | Small Steps, Big Futures Report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DB771" id="_x0000_t202" coordsize="21600,21600" o:spt="202" path="m,l,21600r21600,l21600,xe">
              <v:stroke joinstyle="miter"/>
              <v:path gradientshapeok="t" o:connecttype="rect"/>
            </v:shapetype>
            <v:shape id="Text Box 7" o:spid="_x0000_s1032" type="#_x0000_t202" style="position:absolute;margin-left:66.35pt;margin-top:549.25pt;width:215.5pt;height:15.2pt;z-index:-2543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M2tAIAALE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" filled="f" stroked="f">
              <v:textbox inset="0,0,0,0">
                <w:txbxContent>
                  <w:p w14:paraId="267E57DA" w14:textId="07AEC2BA" w:rsidR="00BA469C" w:rsidRDefault="00BA469C">
                    <w:pPr>
                      <w:spacing w:before="14"/>
                      <w:ind w:left="20"/>
                      <w:rPr>
                        <w:sz w:val="18"/>
                      </w:rPr>
                    </w:pPr>
                    <w:r>
                      <w:rPr>
                        <w:color w:val="00255B"/>
                        <w:sz w:val="18"/>
                      </w:rPr>
                      <w:t xml:space="preserve">The Smith Family | Small Steps, Big Futures Report </w:t>
                    </w:r>
                  </w:p>
                </w:txbxContent>
              </v:textbox>
              <w10:wrap anchorx="page" anchory="page"/>
            </v:shape>
          </w:pict>
        </mc:Fallback>
      </mc:AlternateContent>
    </w:r>
    <w:r>
      <w:rPr>
        <w:noProof/>
        <w:lang w:bidi="ar-SA"/>
      </w:rPr>
      <mc:AlternateContent>
        <mc:Choice Requires="wps">
          <w:drawing>
            <wp:anchor distT="0" distB="0" distL="114300" distR="114300" simplePos="0" relativeHeight="249010176" behindDoc="1" locked="0" layoutInCell="1" allowOverlap="1" wp14:anchorId="11F320C0" wp14:editId="2E096634">
              <wp:simplePos x="0" y="0"/>
              <wp:positionH relativeFrom="page">
                <wp:posOffset>9464040</wp:posOffset>
              </wp:positionH>
              <wp:positionV relativeFrom="page">
                <wp:posOffset>7003415</wp:posOffset>
              </wp:positionV>
              <wp:extent cx="216535" cy="16700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3D441" w14:textId="6C6548C1" w:rsidR="00BA469C" w:rsidRDefault="00BA469C">
                          <w:pPr>
                            <w:spacing w:before="12"/>
                            <w:ind w:left="60"/>
                            <w:rPr>
                              <w:sz w:val="20"/>
                            </w:rPr>
                          </w:pPr>
                          <w:r>
                            <w:fldChar w:fldCharType="begin"/>
                          </w:r>
                          <w:r>
                            <w:rPr>
                              <w:color w:val="001F5F"/>
                              <w:sz w:val="20"/>
                            </w:rPr>
                            <w:instrText xml:space="preserve"> PAGE </w:instrText>
                          </w:r>
                          <w:r>
                            <w:fldChar w:fldCharType="separate"/>
                          </w:r>
                          <w:r w:rsidR="00606107">
                            <w:rPr>
                              <w:noProof/>
                              <w:color w:val="001F5F"/>
                              <w:sz w:val="20"/>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20C0" id="Text Box 6" o:spid="_x0000_s1033" type="#_x0000_t202" style="position:absolute;margin-left:745.2pt;margin-top:551.45pt;width:17.05pt;height:13.15pt;z-index:-2543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he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" filled="f" stroked="f">
              <v:textbox inset="0,0,0,0">
                <w:txbxContent>
                  <w:p w14:paraId="23F3D441" w14:textId="6C6548C1" w:rsidR="00BA469C" w:rsidRDefault="00BA469C">
                    <w:pPr>
                      <w:spacing w:before="12"/>
                      <w:ind w:left="60"/>
                      <w:rPr>
                        <w:sz w:val="20"/>
                      </w:rPr>
                    </w:pPr>
                    <w:r>
                      <w:fldChar w:fldCharType="begin"/>
                    </w:r>
                    <w:r>
                      <w:rPr>
                        <w:color w:val="001F5F"/>
                        <w:sz w:val="20"/>
                      </w:rPr>
                      <w:instrText xml:space="preserve"> PAGE </w:instrText>
                    </w:r>
                    <w:r>
                      <w:fldChar w:fldCharType="separate"/>
                    </w:r>
                    <w:r w:rsidR="00606107">
                      <w:rPr>
                        <w:noProof/>
                        <w:color w:val="001F5F"/>
                        <w:sz w:val="20"/>
                      </w:rPr>
                      <w:t>22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F4615" w14:textId="37922E2A" w:rsidR="00BA469C" w:rsidRDefault="00BA469C">
    <w:pPr>
      <w:pStyle w:val="BodyText"/>
      <w:spacing w:line="14" w:lineRule="auto"/>
      <w:rPr>
        <w:sz w:val="20"/>
      </w:rPr>
    </w:pPr>
    <w:r>
      <w:rPr>
        <w:noProof/>
        <w:lang w:bidi="ar-SA"/>
      </w:rPr>
      <mc:AlternateContent>
        <mc:Choice Requires="wps">
          <w:drawing>
            <wp:anchor distT="0" distB="0" distL="114300" distR="114300" simplePos="0" relativeHeight="249016320" behindDoc="1" locked="0" layoutInCell="1" allowOverlap="1" wp14:anchorId="57204E2C" wp14:editId="7D151D41">
              <wp:simplePos x="0" y="0"/>
              <wp:positionH relativeFrom="page">
                <wp:posOffset>705394</wp:posOffset>
              </wp:positionH>
              <wp:positionV relativeFrom="page">
                <wp:posOffset>10136776</wp:posOffset>
              </wp:positionV>
              <wp:extent cx="2997926" cy="162651"/>
              <wp:effectExtent l="0" t="0" r="1206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926" cy="16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DF2AF" w14:textId="65D1BC28" w:rsidR="00BA469C" w:rsidRDefault="00BA469C">
                          <w:pPr>
                            <w:spacing w:before="14"/>
                            <w:ind w:left="20"/>
                            <w:rPr>
                              <w:sz w:val="18"/>
                            </w:rPr>
                          </w:pPr>
                          <w:r>
                            <w:rPr>
                              <w:color w:val="00255B"/>
                              <w:sz w:val="18"/>
                            </w:rPr>
                            <w:t>The Smith Family | Small Steps, Big Futures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04E2C" id="_x0000_t202" coordsize="21600,21600" o:spt="202" path="m,l,21600r21600,l21600,xe">
              <v:stroke joinstyle="miter"/>
              <v:path gradientshapeok="t" o:connecttype="rect"/>
            </v:shapetype>
            <v:shape id="Text Box 1" o:spid="_x0000_s1035" type="#_x0000_t202" style="position:absolute;margin-left:55.55pt;margin-top:798.15pt;width:236.05pt;height:12.8pt;z-index:-2543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" filled="f" stroked="f">
              <v:textbox inset="0,0,0,0">
                <w:txbxContent>
                  <w:p w14:paraId="07ADF2AF" w14:textId="65D1BC28" w:rsidR="00BA469C" w:rsidRDefault="00BA469C">
                    <w:pPr>
                      <w:spacing w:before="14"/>
                      <w:ind w:left="20"/>
                      <w:rPr>
                        <w:sz w:val="18"/>
                      </w:rPr>
                    </w:pPr>
                    <w:r>
                      <w:rPr>
                        <w:color w:val="00255B"/>
                        <w:sz w:val="18"/>
                      </w:rPr>
                      <w:t>The Smith Family | Small Steps, Big Futures Report</w:t>
                    </w:r>
                  </w:p>
                </w:txbxContent>
              </v:textbox>
              <w10:wrap anchorx="page" anchory="page"/>
            </v:shape>
          </w:pict>
        </mc:Fallback>
      </mc:AlternateContent>
    </w:r>
    <w:r>
      <w:rPr>
        <w:noProof/>
        <w:lang w:bidi="ar-SA"/>
      </w:rPr>
      <mc:AlternateContent>
        <mc:Choice Requires="wps">
          <w:drawing>
            <wp:anchor distT="0" distB="0" distL="114300" distR="114300" simplePos="0" relativeHeight="249015296" behindDoc="1" locked="0" layoutInCell="1" allowOverlap="1" wp14:anchorId="0C2DE113" wp14:editId="7E01DACB">
              <wp:simplePos x="0" y="0"/>
              <wp:positionH relativeFrom="page">
                <wp:posOffset>6865620</wp:posOffset>
              </wp:positionH>
              <wp:positionV relativeFrom="page">
                <wp:posOffset>10118090</wp:posOffset>
              </wp:positionV>
              <wp:extent cx="23177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46812" w14:textId="1CB8433F" w:rsidR="00BA469C" w:rsidRDefault="00BA469C">
                          <w:pPr>
                            <w:pStyle w:val="BodyText"/>
                            <w:spacing w:before="13"/>
                            <w:ind w:left="60"/>
                          </w:pPr>
                          <w:r>
                            <w:fldChar w:fldCharType="begin"/>
                          </w:r>
                          <w:r>
                            <w:rPr>
                              <w:color w:val="00255B"/>
                            </w:rPr>
                            <w:instrText xml:space="preserve"> PAGE </w:instrText>
                          </w:r>
                          <w:r>
                            <w:fldChar w:fldCharType="separate"/>
                          </w:r>
                          <w:r w:rsidR="00606107">
                            <w:rPr>
                              <w:noProof/>
                              <w:color w:val="00255B"/>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DE113" id="Text Box 2" o:spid="_x0000_s1036" type="#_x0000_t202" style="position:absolute;margin-left:540.6pt;margin-top:796.7pt;width:18.25pt;height:14.35pt;z-index:-2543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VsA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" filled="f" stroked="f">
              <v:textbox inset="0,0,0,0">
                <w:txbxContent>
                  <w:p w14:paraId="68946812" w14:textId="1CB8433F" w:rsidR="00BA469C" w:rsidRDefault="00BA469C">
                    <w:pPr>
                      <w:pStyle w:val="BodyText"/>
                      <w:spacing w:before="13"/>
                      <w:ind w:left="60"/>
                    </w:pPr>
                    <w:r>
                      <w:fldChar w:fldCharType="begin"/>
                    </w:r>
                    <w:r>
                      <w:rPr>
                        <w:color w:val="00255B"/>
                      </w:rPr>
                      <w:instrText xml:space="preserve"> PAGE </w:instrText>
                    </w:r>
                    <w:r>
                      <w:fldChar w:fldCharType="separate"/>
                    </w:r>
                    <w:r w:rsidR="00606107">
                      <w:rPr>
                        <w:noProof/>
                        <w:color w:val="00255B"/>
                      </w:rPr>
                      <w:t>48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48123" w14:textId="77777777" w:rsidR="001733E9" w:rsidRDefault="001733E9">
      <w:r>
        <w:separator/>
      </w:r>
    </w:p>
  </w:footnote>
  <w:footnote w:type="continuationSeparator" w:id="0">
    <w:p w14:paraId="24436901" w14:textId="77777777" w:rsidR="001733E9" w:rsidRDefault="001733E9">
      <w:r>
        <w:continuationSeparator/>
      </w:r>
    </w:p>
  </w:footnote>
  <w:footnote w:type="continuationNotice" w:id="1">
    <w:p w14:paraId="6CD94041" w14:textId="77777777" w:rsidR="001733E9" w:rsidRDefault="001733E9"/>
  </w:footnote>
  <w:footnote w:id="2">
    <w:p w14:paraId="5A008F83" w14:textId="3D7F01C2" w:rsidR="00BA469C" w:rsidRPr="00CE17B9" w:rsidRDefault="00BA469C">
      <w:pPr>
        <w:pStyle w:val="FootnoteText"/>
        <w:rPr>
          <w:lang w:val="en-US"/>
        </w:rPr>
      </w:pPr>
      <w:r>
        <w:rPr>
          <w:rStyle w:val="FootnoteReference"/>
        </w:rPr>
        <w:footnoteRef/>
      </w:r>
      <w:r>
        <w:t xml:space="preserve"> </w:t>
      </w:r>
      <w:r>
        <w:rPr>
          <w:lang w:val="en-US"/>
        </w:rPr>
        <w:t>The language used to describe formal early learning settings in the year before school differs across jurisdictions.  For ease of reading, this document uses the term “preschool” to describe this.</w:t>
      </w:r>
    </w:p>
  </w:footnote>
  <w:footnote w:id="3">
    <w:p w14:paraId="59BC06A6" w14:textId="415E6B8E" w:rsidR="00BA469C" w:rsidRPr="00685FCF" w:rsidRDefault="00BA469C">
      <w:pPr>
        <w:pStyle w:val="FootnoteText"/>
        <w:rPr>
          <w:lang w:val="en-US"/>
        </w:rPr>
      </w:pPr>
      <w:r>
        <w:rPr>
          <w:rStyle w:val="FootnoteReference"/>
        </w:rPr>
        <w:footnoteRef/>
      </w:r>
      <w:r>
        <w:t xml:space="preserve"> Participation is used broadly throughout this report to denote enrolment and/or attendance.</w:t>
      </w:r>
    </w:p>
  </w:footnote>
  <w:footnote w:id="4">
    <w:p w14:paraId="3C530374" w14:textId="77777777" w:rsidR="00BA469C" w:rsidRDefault="00BA469C" w:rsidP="00754591">
      <w:pPr>
        <w:spacing w:before="95" w:line="244" w:lineRule="auto"/>
        <w:ind w:left="260" w:right="289"/>
        <w:rPr>
          <w:sz w:val="18"/>
        </w:rPr>
      </w:pPr>
      <w:r>
        <w:rPr>
          <w:rStyle w:val="FootnoteReference"/>
        </w:rPr>
        <w:footnoteRef/>
      </w:r>
      <w:r>
        <w:t xml:space="preserve"> </w:t>
      </w:r>
      <w:r>
        <w:rPr>
          <w:sz w:val="18"/>
        </w:rPr>
        <w:t>The domains are: physical health and wellbeing; social competence; emotional maturity; language and cognitive skills; and communication skills and general</w:t>
      </w:r>
      <w:r>
        <w:rPr>
          <w:spacing w:val="-7"/>
          <w:sz w:val="18"/>
        </w:rPr>
        <w:t xml:space="preserve"> </w:t>
      </w:r>
      <w:r>
        <w:rPr>
          <w:sz w:val="18"/>
        </w:rPr>
        <w:t>knowledge.</w:t>
      </w:r>
    </w:p>
    <w:p w14:paraId="4474BF63" w14:textId="030F0CEF" w:rsidR="00BA469C" w:rsidRPr="00754591" w:rsidRDefault="00BA469C">
      <w:pPr>
        <w:pStyle w:val="FootnoteText"/>
        <w:rPr>
          <w:lang w:val="en-US"/>
        </w:rPr>
      </w:pPr>
    </w:p>
  </w:footnote>
  <w:footnote w:id="5">
    <w:p w14:paraId="4022D2DC" w14:textId="77777777" w:rsidR="00BA469C" w:rsidRDefault="00BA469C" w:rsidP="00754591">
      <w:pPr>
        <w:spacing w:before="95" w:line="242" w:lineRule="auto"/>
        <w:ind w:left="260" w:right="221"/>
        <w:jc w:val="both"/>
        <w:rPr>
          <w:sz w:val="18"/>
        </w:rPr>
      </w:pPr>
      <w:r>
        <w:rPr>
          <w:rStyle w:val="FootnoteReference"/>
        </w:rPr>
        <w:footnoteRef/>
      </w:r>
      <w:r>
        <w:t xml:space="preserve"> </w:t>
      </w:r>
      <w:r>
        <w:rPr>
          <w:sz w:val="18"/>
        </w:rPr>
        <w:t>Preschool, childcare and playgroup attendance data for the AEDC is collected through teacher report rather than systematic data collection and data linkage, so it should be interpreted with some caution as it reflects limitations in available data (O’Connell et al, 2016, p</w:t>
      </w:r>
      <w:r>
        <w:rPr>
          <w:spacing w:val="-6"/>
          <w:sz w:val="18"/>
        </w:rPr>
        <w:t xml:space="preserve"> </w:t>
      </w:r>
      <w:r>
        <w:rPr>
          <w:sz w:val="18"/>
        </w:rPr>
        <w:t>29).</w:t>
      </w:r>
    </w:p>
    <w:p w14:paraId="298B911C" w14:textId="4E18EBBD" w:rsidR="00BA469C" w:rsidRPr="00754591" w:rsidRDefault="00BA469C">
      <w:pPr>
        <w:pStyle w:val="FootnoteText"/>
        <w:rPr>
          <w:lang w:val="en-US"/>
        </w:rPr>
      </w:pPr>
    </w:p>
  </w:footnote>
  <w:footnote w:id="6">
    <w:p w14:paraId="6805B429" w14:textId="77777777" w:rsidR="00BA469C" w:rsidRPr="002776D6" w:rsidRDefault="00BA469C" w:rsidP="00754591">
      <w:pPr>
        <w:pStyle w:val="FootnoteText"/>
        <w:rPr>
          <w:sz w:val="18"/>
          <w:szCs w:val="18"/>
          <w:lang w:val="en-US"/>
        </w:rPr>
      </w:pPr>
      <w:r>
        <w:rPr>
          <w:rStyle w:val="FootnoteReference"/>
        </w:rPr>
        <w:footnoteRef/>
      </w:r>
      <w:r>
        <w:t xml:space="preserve"> </w:t>
      </w:r>
      <w:r w:rsidRPr="002776D6">
        <w:rPr>
          <w:sz w:val="18"/>
          <w:szCs w:val="18"/>
          <w:lang w:val="en-US"/>
        </w:rPr>
        <w:t>These graphs we</w:t>
      </w:r>
      <w:r>
        <w:rPr>
          <w:sz w:val="18"/>
          <w:szCs w:val="18"/>
          <w:lang w:val="en-US"/>
        </w:rPr>
        <w:t>re developed by ACECQA for the P</w:t>
      </w:r>
      <w:r w:rsidRPr="002776D6">
        <w:rPr>
          <w:sz w:val="18"/>
          <w:szCs w:val="18"/>
          <w:lang w:val="en-US"/>
        </w:rPr>
        <w:t>roject using ACECQA data to reporting period end June 2019 mapped to ABS SE</w:t>
      </w:r>
      <w:r>
        <w:rPr>
          <w:sz w:val="18"/>
          <w:szCs w:val="18"/>
          <w:lang w:val="en-US"/>
        </w:rPr>
        <w:t>IF</w:t>
      </w:r>
      <w:r w:rsidRPr="002776D6">
        <w:rPr>
          <w:sz w:val="18"/>
          <w:szCs w:val="18"/>
          <w:lang w:val="en-US"/>
        </w:rPr>
        <w:t>A ratings</w:t>
      </w:r>
    </w:p>
    <w:p w14:paraId="7DF821F3" w14:textId="05B65133" w:rsidR="00BA469C" w:rsidRPr="00754591" w:rsidRDefault="00BA469C">
      <w:pPr>
        <w:pStyle w:val="FootnoteText"/>
        <w:rPr>
          <w:lang w:val="en-US"/>
        </w:rPr>
      </w:pPr>
    </w:p>
  </w:footnote>
  <w:footnote w:id="7">
    <w:p w14:paraId="399F1B85" w14:textId="77777777" w:rsidR="00BA469C" w:rsidRPr="00A841AB" w:rsidRDefault="00BA469C" w:rsidP="00891C9F">
      <w:pPr>
        <w:pStyle w:val="FootnoteText"/>
        <w:rPr>
          <w:lang w:val="en-US"/>
        </w:rPr>
      </w:pPr>
      <w:r>
        <w:rPr>
          <w:rStyle w:val="FootnoteReference"/>
        </w:rPr>
        <w:footnoteRef/>
      </w:r>
      <w:r>
        <w:t xml:space="preserve"> </w:t>
      </w:r>
      <w:r w:rsidRPr="002776D6">
        <w:rPr>
          <w:sz w:val="18"/>
          <w:szCs w:val="18"/>
          <w:lang w:val="en-US"/>
        </w:rPr>
        <w:t>During Stage Two, the project will undertake user centred design to develop and test strategies to overcome barriers to participation</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0F02A" w14:textId="7BE314BE" w:rsidR="00BA469C" w:rsidRDefault="00BA469C">
    <w:pPr>
      <w:pStyle w:val="BodyText"/>
      <w:spacing w:line="14" w:lineRule="auto"/>
      <w:rPr>
        <w:sz w:val="20"/>
      </w:rPr>
    </w:pPr>
    <w:r>
      <w:rPr>
        <w:noProof/>
        <w:lang w:bidi="ar-SA"/>
      </w:rPr>
      <w:drawing>
        <wp:anchor distT="0" distB="0" distL="0" distR="0" simplePos="0" relativeHeight="248992768" behindDoc="1" locked="0" layoutInCell="1" allowOverlap="1" wp14:anchorId="34D46F5C" wp14:editId="39FCE4C5">
          <wp:simplePos x="0" y="0"/>
          <wp:positionH relativeFrom="page">
            <wp:posOffset>6552565</wp:posOffset>
          </wp:positionH>
          <wp:positionV relativeFrom="page">
            <wp:posOffset>360044</wp:posOffset>
          </wp:positionV>
          <wp:extent cx="504190" cy="669290"/>
          <wp:effectExtent l="0" t="0" r="0" b="0"/>
          <wp:wrapNone/>
          <wp:docPr id="28" name="image3.jpeg" descr="The Smith Fami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504190" cy="6692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D340" w14:textId="1872BBA7" w:rsidR="00BA469C" w:rsidRDefault="00BA469C">
    <w:pPr>
      <w:pStyle w:val="BodyText"/>
      <w:spacing w:line="14" w:lineRule="auto"/>
      <w:rPr>
        <w:sz w:val="20"/>
      </w:rPr>
    </w:pPr>
    <w:r>
      <w:rPr>
        <w:noProof/>
        <w:lang w:bidi="ar-SA"/>
      </w:rPr>
      <mc:AlternateContent>
        <mc:Choice Requires="wps">
          <w:drawing>
            <wp:anchor distT="0" distB="0" distL="114300" distR="114300" simplePos="0" relativeHeight="249000960" behindDoc="1" locked="0" layoutInCell="1" allowOverlap="1" wp14:anchorId="14EA75F7" wp14:editId="15DACA15">
              <wp:simplePos x="0" y="0"/>
              <wp:positionH relativeFrom="page">
                <wp:posOffset>901337</wp:posOffset>
              </wp:positionH>
              <wp:positionV relativeFrom="page">
                <wp:posOffset>711926</wp:posOffset>
              </wp:positionV>
              <wp:extent cx="4114800" cy="274320"/>
              <wp:effectExtent l="0" t="0" r="0" b="1143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65C70" w14:textId="54E088F7" w:rsidR="00BA469C" w:rsidRPr="00B147CA" w:rsidRDefault="00BA469C">
                          <w:pPr>
                            <w:spacing w:before="11"/>
                            <w:ind w:left="20"/>
                            <w:rPr>
                              <w:color w:val="1F497D" w:themeColor="text2"/>
                              <w:sz w:val="28"/>
                            </w:rPr>
                          </w:pPr>
                          <w:r w:rsidRPr="00B147CA">
                            <w:rPr>
                              <w:color w:val="1F497D" w:themeColor="text2"/>
                              <w:sz w:val="28"/>
                            </w:rPr>
                            <w:t>Appendix 2 | Preschool Participation Report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A75F7" id="_x0000_t202" coordsize="21600,21600" o:spt="202" path="m,l,21600r21600,l21600,xe">
              <v:stroke joinstyle="miter"/>
              <v:path gradientshapeok="t" o:connecttype="rect"/>
            </v:shapetype>
            <v:shape id="Text Box 14" o:spid="_x0000_s1028" type="#_x0000_t202" style="position:absolute;margin-left:70.95pt;margin-top:56.05pt;width:324pt;height:21.6pt;z-index:-2543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Q4tA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" filled="f" stroked="f">
              <v:textbox inset="0,0,0,0">
                <w:txbxContent>
                  <w:p w14:paraId="73A65C70" w14:textId="54E088F7" w:rsidR="00BA469C" w:rsidRPr="00B147CA" w:rsidRDefault="00BA469C">
                    <w:pPr>
                      <w:spacing w:before="11"/>
                      <w:ind w:left="20"/>
                      <w:rPr>
                        <w:color w:val="1F497D" w:themeColor="text2"/>
                        <w:sz w:val="28"/>
                      </w:rPr>
                    </w:pPr>
                    <w:r w:rsidRPr="00B147CA">
                      <w:rPr>
                        <w:color w:val="1F497D" w:themeColor="text2"/>
                        <w:sz w:val="28"/>
                      </w:rPr>
                      <w:t>Appendix 2 | Preschool Participation Report 2019</w:t>
                    </w:r>
                  </w:p>
                </w:txbxContent>
              </v:textbox>
              <w10:wrap anchorx="page" anchory="page"/>
            </v:shape>
          </w:pict>
        </mc:Fallback>
      </mc:AlternateContent>
    </w:r>
    <w:r>
      <w:rPr>
        <w:noProof/>
        <w:lang w:bidi="ar-SA"/>
      </w:rPr>
      <w:drawing>
        <wp:anchor distT="0" distB="0" distL="0" distR="0" simplePos="0" relativeHeight="248998912" behindDoc="1" locked="0" layoutInCell="1" allowOverlap="1" wp14:anchorId="7FB1B3CE" wp14:editId="2D3A9A50">
          <wp:simplePos x="0" y="0"/>
          <wp:positionH relativeFrom="page">
            <wp:posOffset>6552565</wp:posOffset>
          </wp:positionH>
          <wp:positionV relativeFrom="page">
            <wp:posOffset>360044</wp:posOffset>
          </wp:positionV>
          <wp:extent cx="504190" cy="669290"/>
          <wp:effectExtent l="0" t="0" r="0" b="0"/>
          <wp:wrapNone/>
          <wp:docPr id="3" name="image3.jpeg" descr="The Smith Fami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504190" cy="669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96D9" w14:textId="2A83AD6B" w:rsidR="00BA469C" w:rsidRDefault="00BA469C">
    <w:pPr>
      <w:pStyle w:val="BodyText"/>
      <w:spacing w:line="14" w:lineRule="auto"/>
      <w:rPr>
        <w:sz w:val="20"/>
      </w:rPr>
    </w:pPr>
    <w:r>
      <w:rPr>
        <w:noProof/>
        <w:lang w:bidi="ar-SA"/>
      </w:rPr>
      <mc:AlternateContent>
        <mc:Choice Requires="wps">
          <w:drawing>
            <wp:anchor distT="0" distB="0" distL="114300" distR="114300" simplePos="0" relativeHeight="249007104" behindDoc="1" locked="0" layoutInCell="1" allowOverlap="1" wp14:anchorId="5CD14782" wp14:editId="61265CD9">
              <wp:simplePos x="0" y="0"/>
              <wp:positionH relativeFrom="page">
                <wp:posOffset>901337</wp:posOffset>
              </wp:positionH>
              <wp:positionV relativeFrom="page">
                <wp:posOffset>711926</wp:posOffset>
              </wp:positionV>
              <wp:extent cx="4167052" cy="274320"/>
              <wp:effectExtent l="0" t="0" r="5080" b="1143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052"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32A93" w14:textId="77D73068" w:rsidR="00BA469C" w:rsidRPr="00606107" w:rsidRDefault="00BA469C">
                          <w:pPr>
                            <w:spacing w:before="11"/>
                            <w:ind w:left="20"/>
                            <w:rPr>
                              <w:color w:val="002060"/>
                              <w:sz w:val="28"/>
                            </w:rPr>
                          </w:pPr>
                          <w:r w:rsidRPr="00606107">
                            <w:rPr>
                              <w:color w:val="002060"/>
                              <w:sz w:val="28"/>
                            </w:rPr>
                            <w:t>Appendix 2 | Preschool Participation Report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14782" id="_x0000_t202" coordsize="21600,21600" o:spt="202" path="m,l,21600r21600,l21600,xe">
              <v:stroke joinstyle="miter"/>
              <v:path gradientshapeok="t" o:connecttype="rect"/>
            </v:shapetype>
            <v:shape id="Text Box 9" o:spid="_x0000_s1031" type="#_x0000_t202" style="position:absolute;margin-left:70.95pt;margin-top:56.05pt;width:328.1pt;height:21.6pt;z-index:-2543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DaswIAALE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" filled="f" stroked="f">
              <v:textbox inset="0,0,0,0">
                <w:txbxContent>
                  <w:p w14:paraId="52432A93" w14:textId="77D73068" w:rsidR="00BA469C" w:rsidRPr="00606107" w:rsidRDefault="00BA469C">
                    <w:pPr>
                      <w:spacing w:before="11"/>
                      <w:ind w:left="20"/>
                      <w:rPr>
                        <w:color w:val="002060"/>
                        <w:sz w:val="28"/>
                      </w:rPr>
                    </w:pPr>
                    <w:r w:rsidRPr="00606107">
                      <w:rPr>
                        <w:color w:val="002060"/>
                        <w:sz w:val="28"/>
                      </w:rPr>
                      <w:t>Appendix 2 | Preschool Participation Report 2019</w:t>
                    </w:r>
                  </w:p>
                </w:txbxContent>
              </v:textbox>
              <w10:wrap anchorx="page" anchory="page"/>
            </v:shape>
          </w:pict>
        </mc:Fallback>
      </mc:AlternateContent>
    </w:r>
    <w:r>
      <w:rPr>
        <w:noProof/>
        <w:lang w:bidi="ar-SA"/>
      </w:rPr>
      <w:drawing>
        <wp:anchor distT="0" distB="0" distL="0" distR="0" simplePos="0" relativeHeight="249005056" behindDoc="1" locked="0" layoutInCell="1" allowOverlap="1" wp14:anchorId="648775B3" wp14:editId="69D007D7">
          <wp:simplePos x="0" y="0"/>
          <wp:positionH relativeFrom="page">
            <wp:posOffset>9276715</wp:posOffset>
          </wp:positionH>
          <wp:positionV relativeFrom="page">
            <wp:posOffset>353695</wp:posOffset>
          </wp:positionV>
          <wp:extent cx="504190" cy="669290"/>
          <wp:effectExtent l="0" t="0" r="0" b="0"/>
          <wp:wrapNone/>
          <wp:docPr id="7" name="image3.jpeg" descr="The Smith Fmai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504190" cy="66929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DD30" w14:textId="38DB0614" w:rsidR="00BA469C" w:rsidRDefault="00BA469C">
    <w:pPr>
      <w:pStyle w:val="BodyText"/>
      <w:spacing w:line="14" w:lineRule="auto"/>
      <w:rPr>
        <w:sz w:val="20"/>
      </w:rPr>
    </w:pPr>
    <w:r>
      <w:rPr>
        <w:noProof/>
        <w:lang w:bidi="ar-SA"/>
      </w:rPr>
      <mc:AlternateContent>
        <mc:Choice Requires="wps">
          <w:drawing>
            <wp:anchor distT="0" distB="0" distL="114300" distR="114300" simplePos="0" relativeHeight="249013248" behindDoc="1" locked="0" layoutInCell="1" allowOverlap="1" wp14:anchorId="5214E7C7" wp14:editId="043AF190">
              <wp:simplePos x="0" y="0"/>
              <wp:positionH relativeFrom="page">
                <wp:posOffset>901337</wp:posOffset>
              </wp:positionH>
              <wp:positionV relativeFrom="page">
                <wp:posOffset>711926</wp:posOffset>
              </wp:positionV>
              <wp:extent cx="4095206" cy="267788"/>
              <wp:effectExtent l="0" t="0" r="635" b="1841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206" cy="267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A552D" w14:textId="41F31E6C" w:rsidR="00BA469C" w:rsidRDefault="00BA469C">
                          <w:pPr>
                            <w:spacing w:before="11"/>
                            <w:ind w:left="20"/>
                            <w:rPr>
                              <w:sz w:val="28"/>
                            </w:rPr>
                          </w:pPr>
                          <w:r>
                            <w:rPr>
                              <w:color w:val="E41834"/>
                              <w:sz w:val="28"/>
                            </w:rPr>
                            <w:t>Appendix 2 | Preschool Participation Report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4E7C7" id="_x0000_t202" coordsize="21600,21600" o:spt="202" path="m,l,21600r21600,l21600,xe">
              <v:stroke joinstyle="miter"/>
              <v:path gradientshapeok="t" o:connecttype="rect"/>
            </v:shapetype>
            <v:shape id="Text Box 4" o:spid="_x0000_s1034" type="#_x0000_t202" style="position:absolute;margin-left:70.95pt;margin-top:56.05pt;width:322.45pt;height:21.1pt;z-index:-2543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WrQIAALA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" filled="f" stroked="f">
              <v:textbox inset="0,0,0,0">
                <w:txbxContent>
                  <w:p w14:paraId="351A552D" w14:textId="41F31E6C" w:rsidR="00BA469C" w:rsidRDefault="00BA469C">
                    <w:pPr>
                      <w:spacing w:before="11"/>
                      <w:ind w:left="20"/>
                      <w:rPr>
                        <w:sz w:val="28"/>
                      </w:rPr>
                    </w:pPr>
                    <w:r>
                      <w:rPr>
                        <w:color w:val="E41834"/>
                        <w:sz w:val="28"/>
                      </w:rPr>
                      <w:t>Appendix 2 | Preschool Participation Report 2019</w:t>
                    </w:r>
                  </w:p>
                </w:txbxContent>
              </v:textbox>
              <w10:wrap anchorx="page" anchory="page"/>
            </v:shape>
          </w:pict>
        </mc:Fallback>
      </mc:AlternateContent>
    </w:r>
    <w:r>
      <w:rPr>
        <w:noProof/>
        <w:lang w:bidi="ar-SA"/>
      </w:rPr>
      <w:drawing>
        <wp:anchor distT="0" distB="0" distL="0" distR="0" simplePos="0" relativeHeight="249011200" behindDoc="1" locked="0" layoutInCell="1" allowOverlap="1" wp14:anchorId="373C3028" wp14:editId="0F09B557">
          <wp:simplePos x="0" y="0"/>
          <wp:positionH relativeFrom="page">
            <wp:posOffset>6605905</wp:posOffset>
          </wp:positionH>
          <wp:positionV relativeFrom="page">
            <wp:posOffset>360044</wp:posOffset>
          </wp:positionV>
          <wp:extent cx="504190" cy="669290"/>
          <wp:effectExtent l="0" t="0" r="0" b="0"/>
          <wp:wrapNone/>
          <wp:docPr id="9" name="image3.jpeg" descr="The Smith Fami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 cstate="print"/>
                  <a:stretch>
                    <a:fillRect/>
                  </a:stretch>
                </pic:blipFill>
                <pic:spPr>
                  <a:xfrm>
                    <a:off x="0" y="0"/>
                    <a:ext cx="504190" cy="6692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279"/>
    <w:multiLevelType w:val="hybridMultilevel"/>
    <w:tmpl w:val="7C2E4C34"/>
    <w:lvl w:ilvl="0" w:tplc="CBAAF606">
      <w:numFmt w:val="bullet"/>
      <w:lvlText w:val=""/>
      <w:lvlJc w:val="left"/>
      <w:pPr>
        <w:ind w:left="1548" w:hanging="720"/>
      </w:pPr>
      <w:rPr>
        <w:rFonts w:ascii="Symbol" w:eastAsia="Symbol" w:hAnsi="Symbol" w:cs="Symbol" w:hint="default"/>
        <w:w w:val="99"/>
        <w:sz w:val="20"/>
        <w:szCs w:val="20"/>
        <w:lang w:val="en-AU" w:eastAsia="en-AU" w:bidi="en-AU"/>
      </w:rPr>
    </w:lvl>
    <w:lvl w:ilvl="1" w:tplc="CEC26CA2">
      <w:numFmt w:val="bullet"/>
      <w:lvlText w:val="•"/>
      <w:lvlJc w:val="left"/>
      <w:pPr>
        <w:ind w:left="2802" w:hanging="720"/>
      </w:pPr>
      <w:rPr>
        <w:rFonts w:hint="default"/>
        <w:lang w:val="en-AU" w:eastAsia="en-AU" w:bidi="en-AU"/>
      </w:rPr>
    </w:lvl>
    <w:lvl w:ilvl="2" w:tplc="09160B72">
      <w:numFmt w:val="bullet"/>
      <w:lvlText w:val="•"/>
      <w:lvlJc w:val="left"/>
      <w:pPr>
        <w:ind w:left="4065" w:hanging="720"/>
      </w:pPr>
      <w:rPr>
        <w:rFonts w:hint="default"/>
        <w:lang w:val="en-AU" w:eastAsia="en-AU" w:bidi="en-AU"/>
      </w:rPr>
    </w:lvl>
    <w:lvl w:ilvl="3" w:tplc="7DA0E468">
      <w:numFmt w:val="bullet"/>
      <w:lvlText w:val="•"/>
      <w:lvlJc w:val="left"/>
      <w:pPr>
        <w:ind w:left="5328" w:hanging="720"/>
      </w:pPr>
      <w:rPr>
        <w:rFonts w:hint="default"/>
        <w:lang w:val="en-AU" w:eastAsia="en-AU" w:bidi="en-AU"/>
      </w:rPr>
    </w:lvl>
    <w:lvl w:ilvl="4" w:tplc="0652B226">
      <w:numFmt w:val="bullet"/>
      <w:lvlText w:val="•"/>
      <w:lvlJc w:val="left"/>
      <w:pPr>
        <w:ind w:left="6590" w:hanging="720"/>
      </w:pPr>
      <w:rPr>
        <w:rFonts w:hint="default"/>
        <w:lang w:val="en-AU" w:eastAsia="en-AU" w:bidi="en-AU"/>
      </w:rPr>
    </w:lvl>
    <w:lvl w:ilvl="5" w:tplc="D6561CDA">
      <w:numFmt w:val="bullet"/>
      <w:lvlText w:val="•"/>
      <w:lvlJc w:val="left"/>
      <w:pPr>
        <w:ind w:left="7853" w:hanging="720"/>
      </w:pPr>
      <w:rPr>
        <w:rFonts w:hint="default"/>
        <w:lang w:val="en-AU" w:eastAsia="en-AU" w:bidi="en-AU"/>
      </w:rPr>
    </w:lvl>
    <w:lvl w:ilvl="6" w:tplc="2218693C">
      <w:numFmt w:val="bullet"/>
      <w:lvlText w:val="•"/>
      <w:lvlJc w:val="left"/>
      <w:pPr>
        <w:ind w:left="9116" w:hanging="720"/>
      </w:pPr>
      <w:rPr>
        <w:rFonts w:hint="default"/>
        <w:lang w:val="en-AU" w:eastAsia="en-AU" w:bidi="en-AU"/>
      </w:rPr>
    </w:lvl>
    <w:lvl w:ilvl="7" w:tplc="842E7CBA">
      <w:numFmt w:val="bullet"/>
      <w:lvlText w:val="•"/>
      <w:lvlJc w:val="left"/>
      <w:pPr>
        <w:ind w:left="10378" w:hanging="720"/>
      </w:pPr>
      <w:rPr>
        <w:rFonts w:hint="default"/>
        <w:lang w:val="en-AU" w:eastAsia="en-AU" w:bidi="en-AU"/>
      </w:rPr>
    </w:lvl>
    <w:lvl w:ilvl="8" w:tplc="64E4D744">
      <w:numFmt w:val="bullet"/>
      <w:lvlText w:val="•"/>
      <w:lvlJc w:val="left"/>
      <w:pPr>
        <w:ind w:left="11641" w:hanging="720"/>
      </w:pPr>
      <w:rPr>
        <w:rFonts w:hint="default"/>
        <w:lang w:val="en-AU" w:eastAsia="en-AU" w:bidi="en-AU"/>
      </w:rPr>
    </w:lvl>
  </w:abstractNum>
  <w:abstractNum w:abstractNumId="1" w15:restartNumberingAfterBreak="0">
    <w:nsid w:val="01293E6A"/>
    <w:multiLevelType w:val="multilevel"/>
    <w:tmpl w:val="3474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55363"/>
    <w:multiLevelType w:val="multilevel"/>
    <w:tmpl w:val="1AD24318"/>
    <w:lvl w:ilvl="0">
      <w:start w:val="1"/>
      <w:numFmt w:val="decimal"/>
      <w:lvlText w:val="%1"/>
      <w:lvlJc w:val="left"/>
      <w:pPr>
        <w:tabs>
          <w:tab w:val="num" w:pos="1418"/>
        </w:tabs>
        <w:ind w:left="1418" w:hanging="709"/>
      </w:pPr>
      <w:rPr>
        <w:rFonts w:hint="default"/>
      </w:rPr>
    </w:lvl>
    <w:lvl w:ilvl="1">
      <w:start w:val="1"/>
      <w:numFmt w:val="decimal"/>
      <w:lvlText w:val="%1.%2"/>
      <w:lvlJc w:val="left"/>
      <w:pPr>
        <w:tabs>
          <w:tab w:val="num" w:pos="5812"/>
        </w:tabs>
        <w:ind w:left="5812"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418"/>
        </w:tabs>
        <w:ind w:left="1418" w:hanging="709"/>
      </w:pPr>
      <w:rPr>
        <w:rFonts w:hint="default"/>
      </w:rPr>
    </w:lvl>
    <w:lvl w:ilvl="4">
      <w:start w:val="1"/>
      <w:numFmt w:val="decimal"/>
      <w:lvlText w:val="%1.%2.%3.%4.%5."/>
      <w:lvlJc w:val="left"/>
      <w:pPr>
        <w:ind w:left="709" w:firstLine="0"/>
      </w:pPr>
      <w:rPr>
        <w:rFonts w:hint="default"/>
      </w:rPr>
    </w:lvl>
    <w:lvl w:ilvl="5">
      <w:start w:val="1"/>
      <w:numFmt w:val="decimal"/>
      <w:lvlText w:val="%1.%2.%3.%4.%5.%6."/>
      <w:lvlJc w:val="left"/>
      <w:pPr>
        <w:ind w:left="709" w:firstLine="0"/>
      </w:pPr>
      <w:rPr>
        <w:rFonts w:hint="default"/>
      </w:rPr>
    </w:lvl>
    <w:lvl w:ilvl="6">
      <w:start w:val="1"/>
      <w:numFmt w:val="decimal"/>
      <w:lvlText w:val="%1.%2.%3.%4.%5.%6.%7."/>
      <w:lvlJc w:val="left"/>
      <w:pPr>
        <w:ind w:left="709" w:firstLine="0"/>
      </w:pPr>
      <w:rPr>
        <w:rFonts w:hint="default"/>
      </w:rPr>
    </w:lvl>
    <w:lvl w:ilvl="7">
      <w:start w:val="1"/>
      <w:numFmt w:val="decimal"/>
      <w:lvlText w:val="%1.%2.%3.%4.%5.%6.%7.%8."/>
      <w:lvlJc w:val="left"/>
      <w:pPr>
        <w:ind w:left="709" w:firstLine="0"/>
      </w:pPr>
      <w:rPr>
        <w:rFonts w:hint="default"/>
      </w:rPr>
    </w:lvl>
    <w:lvl w:ilvl="8">
      <w:start w:val="1"/>
      <w:numFmt w:val="decimal"/>
      <w:lvlText w:val="%1.%2.%3.%4.%5.%6.%7.%8.%9."/>
      <w:lvlJc w:val="left"/>
      <w:pPr>
        <w:ind w:left="709" w:firstLine="0"/>
      </w:pPr>
      <w:rPr>
        <w:rFonts w:hint="default"/>
      </w:rPr>
    </w:lvl>
  </w:abstractNum>
  <w:abstractNum w:abstractNumId="3" w15:restartNumberingAfterBreak="0">
    <w:nsid w:val="09995FBE"/>
    <w:multiLevelType w:val="hybridMultilevel"/>
    <w:tmpl w:val="994A542A"/>
    <w:lvl w:ilvl="0" w:tplc="21B69080">
      <w:numFmt w:val="bullet"/>
      <w:lvlText w:val=""/>
      <w:lvlJc w:val="left"/>
      <w:pPr>
        <w:ind w:left="870" w:hanging="360"/>
      </w:pPr>
      <w:rPr>
        <w:rFonts w:ascii="Symbol" w:eastAsia="Symbol" w:hAnsi="Symbol" w:cs="Symbol" w:hint="default"/>
        <w:w w:val="99"/>
        <w:sz w:val="20"/>
        <w:szCs w:val="20"/>
        <w:lang w:val="en-AU" w:eastAsia="en-AU" w:bidi="en-AU"/>
      </w:rPr>
    </w:lvl>
    <w:lvl w:ilvl="1" w:tplc="F40C0404">
      <w:numFmt w:val="bullet"/>
      <w:lvlText w:val="•"/>
      <w:lvlJc w:val="left"/>
      <w:pPr>
        <w:ind w:left="1248" w:hanging="360"/>
      </w:pPr>
      <w:rPr>
        <w:rFonts w:hint="default"/>
        <w:lang w:val="en-AU" w:eastAsia="en-AU" w:bidi="en-AU"/>
      </w:rPr>
    </w:lvl>
    <w:lvl w:ilvl="2" w:tplc="82DEE638">
      <w:numFmt w:val="bullet"/>
      <w:lvlText w:val="•"/>
      <w:lvlJc w:val="left"/>
      <w:pPr>
        <w:ind w:left="1616" w:hanging="360"/>
      </w:pPr>
      <w:rPr>
        <w:rFonts w:hint="default"/>
        <w:lang w:val="en-AU" w:eastAsia="en-AU" w:bidi="en-AU"/>
      </w:rPr>
    </w:lvl>
    <w:lvl w:ilvl="3" w:tplc="B14C332E">
      <w:numFmt w:val="bullet"/>
      <w:lvlText w:val="•"/>
      <w:lvlJc w:val="left"/>
      <w:pPr>
        <w:ind w:left="1984" w:hanging="360"/>
      </w:pPr>
      <w:rPr>
        <w:rFonts w:hint="default"/>
        <w:lang w:val="en-AU" w:eastAsia="en-AU" w:bidi="en-AU"/>
      </w:rPr>
    </w:lvl>
    <w:lvl w:ilvl="4" w:tplc="DBFA9CC0">
      <w:numFmt w:val="bullet"/>
      <w:lvlText w:val="•"/>
      <w:lvlJc w:val="left"/>
      <w:pPr>
        <w:ind w:left="2353" w:hanging="360"/>
      </w:pPr>
      <w:rPr>
        <w:rFonts w:hint="default"/>
        <w:lang w:val="en-AU" w:eastAsia="en-AU" w:bidi="en-AU"/>
      </w:rPr>
    </w:lvl>
    <w:lvl w:ilvl="5" w:tplc="F670D83E">
      <w:numFmt w:val="bullet"/>
      <w:lvlText w:val="•"/>
      <w:lvlJc w:val="left"/>
      <w:pPr>
        <w:ind w:left="2721" w:hanging="360"/>
      </w:pPr>
      <w:rPr>
        <w:rFonts w:hint="default"/>
        <w:lang w:val="en-AU" w:eastAsia="en-AU" w:bidi="en-AU"/>
      </w:rPr>
    </w:lvl>
    <w:lvl w:ilvl="6" w:tplc="5C42D80C">
      <w:numFmt w:val="bullet"/>
      <w:lvlText w:val="•"/>
      <w:lvlJc w:val="left"/>
      <w:pPr>
        <w:ind w:left="3089" w:hanging="360"/>
      </w:pPr>
      <w:rPr>
        <w:rFonts w:hint="default"/>
        <w:lang w:val="en-AU" w:eastAsia="en-AU" w:bidi="en-AU"/>
      </w:rPr>
    </w:lvl>
    <w:lvl w:ilvl="7" w:tplc="D2C09152">
      <w:numFmt w:val="bullet"/>
      <w:lvlText w:val="•"/>
      <w:lvlJc w:val="left"/>
      <w:pPr>
        <w:ind w:left="3457" w:hanging="360"/>
      </w:pPr>
      <w:rPr>
        <w:rFonts w:hint="default"/>
        <w:lang w:val="en-AU" w:eastAsia="en-AU" w:bidi="en-AU"/>
      </w:rPr>
    </w:lvl>
    <w:lvl w:ilvl="8" w:tplc="A52615BA">
      <w:numFmt w:val="bullet"/>
      <w:lvlText w:val="•"/>
      <w:lvlJc w:val="left"/>
      <w:pPr>
        <w:ind w:left="3826" w:hanging="360"/>
      </w:pPr>
      <w:rPr>
        <w:rFonts w:hint="default"/>
        <w:lang w:val="en-AU" w:eastAsia="en-AU" w:bidi="en-AU"/>
      </w:rPr>
    </w:lvl>
  </w:abstractNum>
  <w:abstractNum w:abstractNumId="4" w15:restartNumberingAfterBreak="0">
    <w:nsid w:val="12591880"/>
    <w:multiLevelType w:val="hybridMultilevel"/>
    <w:tmpl w:val="50E61750"/>
    <w:lvl w:ilvl="0" w:tplc="987C74F2">
      <w:numFmt w:val="bullet"/>
      <w:lvlText w:val=""/>
      <w:lvlJc w:val="left"/>
      <w:pPr>
        <w:ind w:left="820" w:hanging="360"/>
      </w:pPr>
      <w:rPr>
        <w:rFonts w:ascii="Symbol" w:eastAsia="Symbol" w:hAnsi="Symbol" w:cs="Symbol" w:hint="default"/>
        <w:w w:val="100"/>
        <w:sz w:val="22"/>
        <w:szCs w:val="22"/>
        <w:lang w:val="en-AU" w:eastAsia="en-AU" w:bidi="en-AU"/>
      </w:rPr>
    </w:lvl>
    <w:lvl w:ilvl="1" w:tplc="D88C34D6">
      <w:numFmt w:val="bullet"/>
      <w:lvlText w:val="•"/>
      <w:lvlJc w:val="left"/>
      <w:pPr>
        <w:ind w:left="1662" w:hanging="360"/>
      </w:pPr>
      <w:rPr>
        <w:rFonts w:hint="default"/>
        <w:lang w:val="en-AU" w:eastAsia="en-AU" w:bidi="en-AU"/>
      </w:rPr>
    </w:lvl>
    <w:lvl w:ilvl="2" w:tplc="69EE5B9A">
      <w:numFmt w:val="bullet"/>
      <w:lvlText w:val="•"/>
      <w:lvlJc w:val="left"/>
      <w:pPr>
        <w:ind w:left="2505" w:hanging="360"/>
      </w:pPr>
      <w:rPr>
        <w:rFonts w:hint="default"/>
        <w:lang w:val="en-AU" w:eastAsia="en-AU" w:bidi="en-AU"/>
      </w:rPr>
    </w:lvl>
    <w:lvl w:ilvl="3" w:tplc="B4883860">
      <w:numFmt w:val="bullet"/>
      <w:lvlText w:val="•"/>
      <w:lvlJc w:val="left"/>
      <w:pPr>
        <w:ind w:left="3347" w:hanging="360"/>
      </w:pPr>
      <w:rPr>
        <w:rFonts w:hint="default"/>
        <w:lang w:val="en-AU" w:eastAsia="en-AU" w:bidi="en-AU"/>
      </w:rPr>
    </w:lvl>
    <w:lvl w:ilvl="4" w:tplc="1E1ED3FC">
      <w:numFmt w:val="bullet"/>
      <w:lvlText w:val="•"/>
      <w:lvlJc w:val="left"/>
      <w:pPr>
        <w:ind w:left="4190" w:hanging="360"/>
      </w:pPr>
      <w:rPr>
        <w:rFonts w:hint="default"/>
        <w:lang w:val="en-AU" w:eastAsia="en-AU" w:bidi="en-AU"/>
      </w:rPr>
    </w:lvl>
    <w:lvl w:ilvl="5" w:tplc="EFA8AD16">
      <w:numFmt w:val="bullet"/>
      <w:lvlText w:val="•"/>
      <w:lvlJc w:val="left"/>
      <w:pPr>
        <w:ind w:left="5033" w:hanging="360"/>
      </w:pPr>
      <w:rPr>
        <w:rFonts w:hint="default"/>
        <w:lang w:val="en-AU" w:eastAsia="en-AU" w:bidi="en-AU"/>
      </w:rPr>
    </w:lvl>
    <w:lvl w:ilvl="6" w:tplc="B6DCB8DC">
      <w:numFmt w:val="bullet"/>
      <w:lvlText w:val="•"/>
      <w:lvlJc w:val="left"/>
      <w:pPr>
        <w:ind w:left="5875" w:hanging="360"/>
      </w:pPr>
      <w:rPr>
        <w:rFonts w:hint="default"/>
        <w:lang w:val="en-AU" w:eastAsia="en-AU" w:bidi="en-AU"/>
      </w:rPr>
    </w:lvl>
    <w:lvl w:ilvl="7" w:tplc="82927ED0">
      <w:numFmt w:val="bullet"/>
      <w:lvlText w:val="•"/>
      <w:lvlJc w:val="left"/>
      <w:pPr>
        <w:ind w:left="6718" w:hanging="360"/>
      </w:pPr>
      <w:rPr>
        <w:rFonts w:hint="default"/>
        <w:lang w:val="en-AU" w:eastAsia="en-AU" w:bidi="en-AU"/>
      </w:rPr>
    </w:lvl>
    <w:lvl w:ilvl="8" w:tplc="4F68C5DA">
      <w:numFmt w:val="bullet"/>
      <w:lvlText w:val="•"/>
      <w:lvlJc w:val="left"/>
      <w:pPr>
        <w:ind w:left="7561" w:hanging="360"/>
      </w:pPr>
      <w:rPr>
        <w:rFonts w:hint="default"/>
        <w:lang w:val="en-AU" w:eastAsia="en-AU" w:bidi="en-AU"/>
      </w:rPr>
    </w:lvl>
  </w:abstractNum>
  <w:abstractNum w:abstractNumId="5" w15:restartNumberingAfterBreak="0">
    <w:nsid w:val="254B5EB1"/>
    <w:multiLevelType w:val="hybridMultilevel"/>
    <w:tmpl w:val="E878C1F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9B07C2A"/>
    <w:multiLevelType w:val="hybridMultilevel"/>
    <w:tmpl w:val="71F2D8DA"/>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 w15:restartNumberingAfterBreak="0">
    <w:nsid w:val="2B4A638F"/>
    <w:multiLevelType w:val="hybridMultilevel"/>
    <w:tmpl w:val="48B6F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627BE5"/>
    <w:multiLevelType w:val="hybridMultilevel"/>
    <w:tmpl w:val="BBBA7E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08C2237"/>
    <w:multiLevelType w:val="hybridMultilevel"/>
    <w:tmpl w:val="99F61C2C"/>
    <w:lvl w:ilvl="0" w:tplc="44BE7B80">
      <w:numFmt w:val="bullet"/>
      <w:lvlText w:val=""/>
      <w:lvlJc w:val="left"/>
      <w:pPr>
        <w:ind w:left="870" w:hanging="360"/>
      </w:pPr>
      <w:rPr>
        <w:rFonts w:ascii="Symbol" w:eastAsia="Symbol" w:hAnsi="Symbol" w:cs="Symbol" w:hint="default"/>
        <w:w w:val="99"/>
        <w:sz w:val="20"/>
        <w:szCs w:val="20"/>
        <w:lang w:val="en-AU" w:eastAsia="en-AU" w:bidi="en-AU"/>
      </w:rPr>
    </w:lvl>
    <w:lvl w:ilvl="1" w:tplc="5CBACD6C">
      <w:numFmt w:val="bullet"/>
      <w:lvlText w:val="•"/>
      <w:lvlJc w:val="left"/>
      <w:pPr>
        <w:ind w:left="1248" w:hanging="360"/>
      </w:pPr>
      <w:rPr>
        <w:rFonts w:hint="default"/>
        <w:lang w:val="en-AU" w:eastAsia="en-AU" w:bidi="en-AU"/>
      </w:rPr>
    </w:lvl>
    <w:lvl w:ilvl="2" w:tplc="1EFACEFE">
      <w:numFmt w:val="bullet"/>
      <w:lvlText w:val="•"/>
      <w:lvlJc w:val="left"/>
      <w:pPr>
        <w:ind w:left="1616" w:hanging="360"/>
      </w:pPr>
      <w:rPr>
        <w:rFonts w:hint="default"/>
        <w:lang w:val="en-AU" w:eastAsia="en-AU" w:bidi="en-AU"/>
      </w:rPr>
    </w:lvl>
    <w:lvl w:ilvl="3" w:tplc="85F44C46">
      <w:numFmt w:val="bullet"/>
      <w:lvlText w:val="•"/>
      <w:lvlJc w:val="left"/>
      <w:pPr>
        <w:ind w:left="1984" w:hanging="360"/>
      </w:pPr>
      <w:rPr>
        <w:rFonts w:hint="default"/>
        <w:lang w:val="en-AU" w:eastAsia="en-AU" w:bidi="en-AU"/>
      </w:rPr>
    </w:lvl>
    <w:lvl w:ilvl="4" w:tplc="A2681B56">
      <w:numFmt w:val="bullet"/>
      <w:lvlText w:val="•"/>
      <w:lvlJc w:val="left"/>
      <w:pPr>
        <w:ind w:left="2353" w:hanging="360"/>
      </w:pPr>
      <w:rPr>
        <w:rFonts w:hint="default"/>
        <w:lang w:val="en-AU" w:eastAsia="en-AU" w:bidi="en-AU"/>
      </w:rPr>
    </w:lvl>
    <w:lvl w:ilvl="5" w:tplc="F0F48AD6">
      <w:numFmt w:val="bullet"/>
      <w:lvlText w:val="•"/>
      <w:lvlJc w:val="left"/>
      <w:pPr>
        <w:ind w:left="2721" w:hanging="360"/>
      </w:pPr>
      <w:rPr>
        <w:rFonts w:hint="default"/>
        <w:lang w:val="en-AU" w:eastAsia="en-AU" w:bidi="en-AU"/>
      </w:rPr>
    </w:lvl>
    <w:lvl w:ilvl="6" w:tplc="DBBAEE38">
      <w:numFmt w:val="bullet"/>
      <w:lvlText w:val="•"/>
      <w:lvlJc w:val="left"/>
      <w:pPr>
        <w:ind w:left="3089" w:hanging="360"/>
      </w:pPr>
      <w:rPr>
        <w:rFonts w:hint="default"/>
        <w:lang w:val="en-AU" w:eastAsia="en-AU" w:bidi="en-AU"/>
      </w:rPr>
    </w:lvl>
    <w:lvl w:ilvl="7" w:tplc="66B8129C">
      <w:numFmt w:val="bullet"/>
      <w:lvlText w:val="•"/>
      <w:lvlJc w:val="left"/>
      <w:pPr>
        <w:ind w:left="3457" w:hanging="360"/>
      </w:pPr>
      <w:rPr>
        <w:rFonts w:hint="default"/>
        <w:lang w:val="en-AU" w:eastAsia="en-AU" w:bidi="en-AU"/>
      </w:rPr>
    </w:lvl>
    <w:lvl w:ilvl="8" w:tplc="4F283F54">
      <w:numFmt w:val="bullet"/>
      <w:lvlText w:val="•"/>
      <w:lvlJc w:val="left"/>
      <w:pPr>
        <w:ind w:left="3826" w:hanging="360"/>
      </w:pPr>
      <w:rPr>
        <w:rFonts w:hint="default"/>
        <w:lang w:val="en-AU" w:eastAsia="en-AU" w:bidi="en-AU"/>
      </w:rPr>
    </w:lvl>
  </w:abstractNum>
  <w:abstractNum w:abstractNumId="10" w15:restartNumberingAfterBreak="0">
    <w:nsid w:val="31640902"/>
    <w:multiLevelType w:val="hybridMultilevel"/>
    <w:tmpl w:val="A094F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B47C29"/>
    <w:multiLevelType w:val="hybridMultilevel"/>
    <w:tmpl w:val="21FAFC46"/>
    <w:lvl w:ilvl="0" w:tplc="A2C008CE">
      <w:numFmt w:val="bullet"/>
      <w:lvlText w:val=""/>
      <w:lvlJc w:val="left"/>
      <w:pPr>
        <w:ind w:left="878" w:hanging="361"/>
      </w:pPr>
      <w:rPr>
        <w:rFonts w:ascii="Symbol" w:eastAsia="Symbol" w:hAnsi="Symbol" w:cs="Symbol" w:hint="default"/>
        <w:w w:val="99"/>
        <w:sz w:val="20"/>
        <w:szCs w:val="20"/>
        <w:lang w:val="en-AU" w:eastAsia="en-AU" w:bidi="en-AU"/>
      </w:rPr>
    </w:lvl>
    <w:lvl w:ilvl="1" w:tplc="45F2B398">
      <w:numFmt w:val="bullet"/>
      <w:lvlText w:val="•"/>
      <w:lvlJc w:val="left"/>
      <w:pPr>
        <w:ind w:left="1248" w:hanging="361"/>
      </w:pPr>
      <w:rPr>
        <w:rFonts w:hint="default"/>
        <w:lang w:val="en-AU" w:eastAsia="en-AU" w:bidi="en-AU"/>
      </w:rPr>
    </w:lvl>
    <w:lvl w:ilvl="2" w:tplc="6FA0B380">
      <w:numFmt w:val="bullet"/>
      <w:lvlText w:val="•"/>
      <w:lvlJc w:val="left"/>
      <w:pPr>
        <w:ind w:left="1616" w:hanging="361"/>
      </w:pPr>
      <w:rPr>
        <w:rFonts w:hint="default"/>
        <w:lang w:val="en-AU" w:eastAsia="en-AU" w:bidi="en-AU"/>
      </w:rPr>
    </w:lvl>
    <w:lvl w:ilvl="3" w:tplc="AD48361A">
      <w:numFmt w:val="bullet"/>
      <w:lvlText w:val="•"/>
      <w:lvlJc w:val="left"/>
      <w:pPr>
        <w:ind w:left="1984" w:hanging="361"/>
      </w:pPr>
      <w:rPr>
        <w:rFonts w:hint="default"/>
        <w:lang w:val="en-AU" w:eastAsia="en-AU" w:bidi="en-AU"/>
      </w:rPr>
    </w:lvl>
    <w:lvl w:ilvl="4" w:tplc="EFC03B6A">
      <w:numFmt w:val="bullet"/>
      <w:lvlText w:val="•"/>
      <w:lvlJc w:val="left"/>
      <w:pPr>
        <w:ind w:left="2353" w:hanging="361"/>
      </w:pPr>
      <w:rPr>
        <w:rFonts w:hint="default"/>
        <w:lang w:val="en-AU" w:eastAsia="en-AU" w:bidi="en-AU"/>
      </w:rPr>
    </w:lvl>
    <w:lvl w:ilvl="5" w:tplc="B4E0AB1E">
      <w:numFmt w:val="bullet"/>
      <w:lvlText w:val="•"/>
      <w:lvlJc w:val="left"/>
      <w:pPr>
        <w:ind w:left="2721" w:hanging="361"/>
      </w:pPr>
      <w:rPr>
        <w:rFonts w:hint="default"/>
        <w:lang w:val="en-AU" w:eastAsia="en-AU" w:bidi="en-AU"/>
      </w:rPr>
    </w:lvl>
    <w:lvl w:ilvl="6" w:tplc="399EC9A0">
      <w:numFmt w:val="bullet"/>
      <w:lvlText w:val="•"/>
      <w:lvlJc w:val="left"/>
      <w:pPr>
        <w:ind w:left="3089" w:hanging="361"/>
      </w:pPr>
      <w:rPr>
        <w:rFonts w:hint="default"/>
        <w:lang w:val="en-AU" w:eastAsia="en-AU" w:bidi="en-AU"/>
      </w:rPr>
    </w:lvl>
    <w:lvl w:ilvl="7" w:tplc="9418CFD2">
      <w:numFmt w:val="bullet"/>
      <w:lvlText w:val="•"/>
      <w:lvlJc w:val="left"/>
      <w:pPr>
        <w:ind w:left="3457" w:hanging="361"/>
      </w:pPr>
      <w:rPr>
        <w:rFonts w:hint="default"/>
        <w:lang w:val="en-AU" w:eastAsia="en-AU" w:bidi="en-AU"/>
      </w:rPr>
    </w:lvl>
    <w:lvl w:ilvl="8" w:tplc="2C88B806">
      <w:numFmt w:val="bullet"/>
      <w:lvlText w:val="•"/>
      <w:lvlJc w:val="left"/>
      <w:pPr>
        <w:ind w:left="3826" w:hanging="361"/>
      </w:pPr>
      <w:rPr>
        <w:rFonts w:hint="default"/>
        <w:lang w:val="en-AU" w:eastAsia="en-AU" w:bidi="en-AU"/>
      </w:rPr>
    </w:lvl>
  </w:abstractNum>
  <w:abstractNum w:abstractNumId="12" w15:restartNumberingAfterBreak="0">
    <w:nsid w:val="33D4004E"/>
    <w:multiLevelType w:val="hybridMultilevel"/>
    <w:tmpl w:val="D65C0C4A"/>
    <w:lvl w:ilvl="0" w:tplc="AFE45610">
      <w:start w:val="1"/>
      <w:numFmt w:val="decimal"/>
      <w:lvlText w:val="%1."/>
      <w:lvlJc w:val="left"/>
      <w:pPr>
        <w:ind w:left="981" w:hanging="317"/>
      </w:pPr>
      <w:rPr>
        <w:rFonts w:hint="default"/>
        <w:spacing w:val="-1"/>
        <w:w w:val="100"/>
        <w:lang w:val="en-AU" w:eastAsia="en-AU" w:bidi="en-AU"/>
      </w:rPr>
    </w:lvl>
    <w:lvl w:ilvl="1" w:tplc="F6B62F96">
      <w:numFmt w:val="bullet"/>
      <w:lvlText w:val="•"/>
      <w:lvlJc w:val="left"/>
      <w:pPr>
        <w:ind w:left="2321" w:hanging="317"/>
      </w:pPr>
      <w:rPr>
        <w:rFonts w:hint="default"/>
        <w:lang w:val="en-AU" w:eastAsia="en-AU" w:bidi="en-AU"/>
      </w:rPr>
    </w:lvl>
    <w:lvl w:ilvl="2" w:tplc="1DA2406A">
      <w:numFmt w:val="bullet"/>
      <w:lvlText w:val="•"/>
      <w:lvlJc w:val="left"/>
      <w:pPr>
        <w:ind w:left="3663" w:hanging="317"/>
      </w:pPr>
      <w:rPr>
        <w:rFonts w:hint="default"/>
        <w:lang w:val="en-AU" w:eastAsia="en-AU" w:bidi="en-AU"/>
      </w:rPr>
    </w:lvl>
    <w:lvl w:ilvl="3" w:tplc="B4CA55B8">
      <w:numFmt w:val="bullet"/>
      <w:lvlText w:val="•"/>
      <w:lvlJc w:val="left"/>
      <w:pPr>
        <w:ind w:left="5005" w:hanging="317"/>
      </w:pPr>
      <w:rPr>
        <w:rFonts w:hint="default"/>
        <w:lang w:val="en-AU" w:eastAsia="en-AU" w:bidi="en-AU"/>
      </w:rPr>
    </w:lvl>
    <w:lvl w:ilvl="4" w:tplc="DE701F10">
      <w:numFmt w:val="bullet"/>
      <w:lvlText w:val="•"/>
      <w:lvlJc w:val="left"/>
      <w:pPr>
        <w:ind w:left="6347" w:hanging="317"/>
      </w:pPr>
      <w:rPr>
        <w:rFonts w:hint="default"/>
        <w:lang w:val="en-AU" w:eastAsia="en-AU" w:bidi="en-AU"/>
      </w:rPr>
    </w:lvl>
    <w:lvl w:ilvl="5" w:tplc="FD9272E8">
      <w:numFmt w:val="bullet"/>
      <w:lvlText w:val="•"/>
      <w:lvlJc w:val="left"/>
      <w:pPr>
        <w:ind w:left="7689" w:hanging="317"/>
      </w:pPr>
      <w:rPr>
        <w:rFonts w:hint="default"/>
        <w:lang w:val="en-AU" w:eastAsia="en-AU" w:bidi="en-AU"/>
      </w:rPr>
    </w:lvl>
    <w:lvl w:ilvl="6" w:tplc="C2640C84">
      <w:numFmt w:val="bullet"/>
      <w:lvlText w:val="•"/>
      <w:lvlJc w:val="left"/>
      <w:pPr>
        <w:ind w:left="9031" w:hanging="317"/>
      </w:pPr>
      <w:rPr>
        <w:rFonts w:hint="default"/>
        <w:lang w:val="en-AU" w:eastAsia="en-AU" w:bidi="en-AU"/>
      </w:rPr>
    </w:lvl>
    <w:lvl w:ilvl="7" w:tplc="5DDE7484">
      <w:numFmt w:val="bullet"/>
      <w:lvlText w:val="•"/>
      <w:lvlJc w:val="left"/>
      <w:pPr>
        <w:ind w:left="10372" w:hanging="317"/>
      </w:pPr>
      <w:rPr>
        <w:rFonts w:hint="default"/>
        <w:lang w:val="en-AU" w:eastAsia="en-AU" w:bidi="en-AU"/>
      </w:rPr>
    </w:lvl>
    <w:lvl w:ilvl="8" w:tplc="46E2CEA6">
      <w:numFmt w:val="bullet"/>
      <w:lvlText w:val="•"/>
      <w:lvlJc w:val="left"/>
      <w:pPr>
        <w:ind w:left="11714" w:hanging="317"/>
      </w:pPr>
      <w:rPr>
        <w:rFonts w:hint="default"/>
        <w:lang w:val="en-AU" w:eastAsia="en-AU" w:bidi="en-AU"/>
      </w:rPr>
    </w:lvl>
  </w:abstractNum>
  <w:abstractNum w:abstractNumId="13" w15:restartNumberingAfterBreak="0">
    <w:nsid w:val="3975761C"/>
    <w:multiLevelType w:val="hybridMultilevel"/>
    <w:tmpl w:val="B1B04720"/>
    <w:lvl w:ilvl="0" w:tplc="29BA4AD2">
      <w:start w:val="1"/>
      <w:numFmt w:val="bullet"/>
      <w:lvlText w:val="•"/>
      <w:lvlJc w:val="left"/>
      <w:pPr>
        <w:tabs>
          <w:tab w:val="num" w:pos="720"/>
        </w:tabs>
        <w:ind w:left="720" w:hanging="360"/>
      </w:pPr>
      <w:rPr>
        <w:rFonts w:ascii="Arial" w:hAnsi="Arial" w:hint="default"/>
      </w:rPr>
    </w:lvl>
    <w:lvl w:ilvl="1" w:tplc="B1E2A434" w:tentative="1">
      <w:start w:val="1"/>
      <w:numFmt w:val="bullet"/>
      <w:lvlText w:val="•"/>
      <w:lvlJc w:val="left"/>
      <w:pPr>
        <w:tabs>
          <w:tab w:val="num" w:pos="1440"/>
        </w:tabs>
        <w:ind w:left="1440" w:hanging="360"/>
      </w:pPr>
      <w:rPr>
        <w:rFonts w:ascii="Arial" w:hAnsi="Arial" w:hint="default"/>
      </w:rPr>
    </w:lvl>
    <w:lvl w:ilvl="2" w:tplc="FF842D7E" w:tentative="1">
      <w:start w:val="1"/>
      <w:numFmt w:val="bullet"/>
      <w:lvlText w:val="•"/>
      <w:lvlJc w:val="left"/>
      <w:pPr>
        <w:tabs>
          <w:tab w:val="num" w:pos="2160"/>
        </w:tabs>
        <w:ind w:left="2160" w:hanging="360"/>
      </w:pPr>
      <w:rPr>
        <w:rFonts w:ascii="Arial" w:hAnsi="Arial" w:hint="default"/>
      </w:rPr>
    </w:lvl>
    <w:lvl w:ilvl="3" w:tplc="B492CF68" w:tentative="1">
      <w:start w:val="1"/>
      <w:numFmt w:val="bullet"/>
      <w:lvlText w:val="•"/>
      <w:lvlJc w:val="left"/>
      <w:pPr>
        <w:tabs>
          <w:tab w:val="num" w:pos="2880"/>
        </w:tabs>
        <w:ind w:left="2880" w:hanging="360"/>
      </w:pPr>
      <w:rPr>
        <w:rFonts w:ascii="Arial" w:hAnsi="Arial" w:hint="default"/>
      </w:rPr>
    </w:lvl>
    <w:lvl w:ilvl="4" w:tplc="4920D212" w:tentative="1">
      <w:start w:val="1"/>
      <w:numFmt w:val="bullet"/>
      <w:lvlText w:val="•"/>
      <w:lvlJc w:val="left"/>
      <w:pPr>
        <w:tabs>
          <w:tab w:val="num" w:pos="3600"/>
        </w:tabs>
        <w:ind w:left="3600" w:hanging="360"/>
      </w:pPr>
      <w:rPr>
        <w:rFonts w:ascii="Arial" w:hAnsi="Arial" w:hint="default"/>
      </w:rPr>
    </w:lvl>
    <w:lvl w:ilvl="5" w:tplc="A85AFB50" w:tentative="1">
      <w:start w:val="1"/>
      <w:numFmt w:val="bullet"/>
      <w:lvlText w:val="•"/>
      <w:lvlJc w:val="left"/>
      <w:pPr>
        <w:tabs>
          <w:tab w:val="num" w:pos="4320"/>
        </w:tabs>
        <w:ind w:left="4320" w:hanging="360"/>
      </w:pPr>
      <w:rPr>
        <w:rFonts w:ascii="Arial" w:hAnsi="Arial" w:hint="default"/>
      </w:rPr>
    </w:lvl>
    <w:lvl w:ilvl="6" w:tplc="B5C8698A" w:tentative="1">
      <w:start w:val="1"/>
      <w:numFmt w:val="bullet"/>
      <w:lvlText w:val="•"/>
      <w:lvlJc w:val="left"/>
      <w:pPr>
        <w:tabs>
          <w:tab w:val="num" w:pos="5040"/>
        </w:tabs>
        <w:ind w:left="5040" w:hanging="360"/>
      </w:pPr>
      <w:rPr>
        <w:rFonts w:ascii="Arial" w:hAnsi="Arial" w:hint="default"/>
      </w:rPr>
    </w:lvl>
    <w:lvl w:ilvl="7" w:tplc="46467BA6" w:tentative="1">
      <w:start w:val="1"/>
      <w:numFmt w:val="bullet"/>
      <w:lvlText w:val="•"/>
      <w:lvlJc w:val="left"/>
      <w:pPr>
        <w:tabs>
          <w:tab w:val="num" w:pos="5760"/>
        </w:tabs>
        <w:ind w:left="5760" w:hanging="360"/>
      </w:pPr>
      <w:rPr>
        <w:rFonts w:ascii="Arial" w:hAnsi="Arial" w:hint="default"/>
      </w:rPr>
    </w:lvl>
    <w:lvl w:ilvl="8" w:tplc="FFA4DBA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B2064F"/>
    <w:multiLevelType w:val="hybridMultilevel"/>
    <w:tmpl w:val="729098B2"/>
    <w:lvl w:ilvl="0" w:tplc="5E02F390">
      <w:numFmt w:val="bullet"/>
      <w:lvlText w:val=""/>
      <w:lvlJc w:val="left"/>
      <w:pPr>
        <w:ind w:left="973" w:hanging="356"/>
      </w:pPr>
      <w:rPr>
        <w:rFonts w:ascii="Symbol" w:eastAsia="Symbol" w:hAnsi="Symbol" w:cs="Symbol" w:hint="default"/>
        <w:w w:val="100"/>
        <w:sz w:val="22"/>
        <w:szCs w:val="22"/>
        <w:lang w:val="en-AU" w:eastAsia="en-AU" w:bidi="en-AU"/>
      </w:rPr>
    </w:lvl>
    <w:lvl w:ilvl="1" w:tplc="91226470">
      <w:numFmt w:val="bullet"/>
      <w:lvlText w:val="•"/>
      <w:lvlJc w:val="left"/>
      <w:pPr>
        <w:ind w:left="1832" w:hanging="356"/>
      </w:pPr>
      <w:rPr>
        <w:rFonts w:hint="default"/>
        <w:lang w:val="en-AU" w:eastAsia="en-AU" w:bidi="en-AU"/>
      </w:rPr>
    </w:lvl>
    <w:lvl w:ilvl="2" w:tplc="90907E00">
      <w:numFmt w:val="bullet"/>
      <w:lvlText w:val="•"/>
      <w:lvlJc w:val="left"/>
      <w:pPr>
        <w:ind w:left="2685" w:hanging="356"/>
      </w:pPr>
      <w:rPr>
        <w:rFonts w:hint="default"/>
        <w:lang w:val="en-AU" w:eastAsia="en-AU" w:bidi="en-AU"/>
      </w:rPr>
    </w:lvl>
    <w:lvl w:ilvl="3" w:tplc="267E3DDC">
      <w:numFmt w:val="bullet"/>
      <w:lvlText w:val="•"/>
      <w:lvlJc w:val="left"/>
      <w:pPr>
        <w:ind w:left="3537" w:hanging="356"/>
      </w:pPr>
      <w:rPr>
        <w:rFonts w:hint="default"/>
        <w:lang w:val="en-AU" w:eastAsia="en-AU" w:bidi="en-AU"/>
      </w:rPr>
    </w:lvl>
    <w:lvl w:ilvl="4" w:tplc="912CAC9A">
      <w:numFmt w:val="bullet"/>
      <w:lvlText w:val="•"/>
      <w:lvlJc w:val="left"/>
      <w:pPr>
        <w:ind w:left="4390" w:hanging="356"/>
      </w:pPr>
      <w:rPr>
        <w:rFonts w:hint="default"/>
        <w:lang w:val="en-AU" w:eastAsia="en-AU" w:bidi="en-AU"/>
      </w:rPr>
    </w:lvl>
    <w:lvl w:ilvl="5" w:tplc="15E43846">
      <w:numFmt w:val="bullet"/>
      <w:lvlText w:val="•"/>
      <w:lvlJc w:val="left"/>
      <w:pPr>
        <w:ind w:left="5243" w:hanging="356"/>
      </w:pPr>
      <w:rPr>
        <w:rFonts w:hint="default"/>
        <w:lang w:val="en-AU" w:eastAsia="en-AU" w:bidi="en-AU"/>
      </w:rPr>
    </w:lvl>
    <w:lvl w:ilvl="6" w:tplc="390A9620">
      <w:numFmt w:val="bullet"/>
      <w:lvlText w:val="•"/>
      <w:lvlJc w:val="left"/>
      <w:pPr>
        <w:ind w:left="6095" w:hanging="356"/>
      </w:pPr>
      <w:rPr>
        <w:rFonts w:hint="default"/>
        <w:lang w:val="en-AU" w:eastAsia="en-AU" w:bidi="en-AU"/>
      </w:rPr>
    </w:lvl>
    <w:lvl w:ilvl="7" w:tplc="E6701C92">
      <w:numFmt w:val="bullet"/>
      <w:lvlText w:val="•"/>
      <w:lvlJc w:val="left"/>
      <w:pPr>
        <w:ind w:left="6948" w:hanging="356"/>
      </w:pPr>
      <w:rPr>
        <w:rFonts w:hint="default"/>
        <w:lang w:val="en-AU" w:eastAsia="en-AU" w:bidi="en-AU"/>
      </w:rPr>
    </w:lvl>
    <w:lvl w:ilvl="8" w:tplc="96FCC510">
      <w:numFmt w:val="bullet"/>
      <w:lvlText w:val="•"/>
      <w:lvlJc w:val="left"/>
      <w:pPr>
        <w:ind w:left="7801" w:hanging="356"/>
      </w:pPr>
      <w:rPr>
        <w:rFonts w:hint="default"/>
        <w:lang w:val="en-AU" w:eastAsia="en-AU" w:bidi="en-AU"/>
      </w:rPr>
    </w:lvl>
  </w:abstractNum>
  <w:abstractNum w:abstractNumId="15" w15:restartNumberingAfterBreak="0">
    <w:nsid w:val="4ABB3197"/>
    <w:multiLevelType w:val="hybridMultilevel"/>
    <w:tmpl w:val="3FAAB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BC2062F"/>
    <w:multiLevelType w:val="hybridMultilevel"/>
    <w:tmpl w:val="23084F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505F54"/>
    <w:multiLevelType w:val="hybridMultilevel"/>
    <w:tmpl w:val="BAE8E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F8271C"/>
    <w:multiLevelType w:val="hybridMultilevel"/>
    <w:tmpl w:val="964C4966"/>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628728B1"/>
    <w:multiLevelType w:val="hybridMultilevel"/>
    <w:tmpl w:val="9B823C14"/>
    <w:lvl w:ilvl="0" w:tplc="553EA00E">
      <w:start w:val="1"/>
      <w:numFmt w:val="decimal"/>
      <w:lvlText w:val="%1."/>
      <w:lvlJc w:val="left"/>
      <w:pPr>
        <w:ind w:left="981" w:hanging="317"/>
      </w:pPr>
      <w:rPr>
        <w:rFonts w:hint="default"/>
        <w:spacing w:val="-1"/>
        <w:w w:val="100"/>
        <w:lang w:val="en-AU" w:eastAsia="en-AU" w:bidi="en-AU"/>
      </w:rPr>
    </w:lvl>
    <w:lvl w:ilvl="1" w:tplc="BF8E5D74">
      <w:numFmt w:val="bullet"/>
      <w:lvlText w:val="•"/>
      <w:lvlJc w:val="left"/>
      <w:pPr>
        <w:ind w:left="2321" w:hanging="317"/>
      </w:pPr>
      <w:rPr>
        <w:rFonts w:hint="default"/>
        <w:lang w:val="en-AU" w:eastAsia="en-AU" w:bidi="en-AU"/>
      </w:rPr>
    </w:lvl>
    <w:lvl w:ilvl="2" w:tplc="7D6C0E4C">
      <w:numFmt w:val="bullet"/>
      <w:lvlText w:val="•"/>
      <w:lvlJc w:val="left"/>
      <w:pPr>
        <w:ind w:left="3663" w:hanging="317"/>
      </w:pPr>
      <w:rPr>
        <w:rFonts w:hint="default"/>
        <w:lang w:val="en-AU" w:eastAsia="en-AU" w:bidi="en-AU"/>
      </w:rPr>
    </w:lvl>
    <w:lvl w:ilvl="3" w:tplc="B9FA4DF4">
      <w:numFmt w:val="bullet"/>
      <w:lvlText w:val="•"/>
      <w:lvlJc w:val="left"/>
      <w:pPr>
        <w:ind w:left="5005" w:hanging="317"/>
      </w:pPr>
      <w:rPr>
        <w:rFonts w:hint="default"/>
        <w:lang w:val="en-AU" w:eastAsia="en-AU" w:bidi="en-AU"/>
      </w:rPr>
    </w:lvl>
    <w:lvl w:ilvl="4" w:tplc="EDC062B0">
      <w:numFmt w:val="bullet"/>
      <w:lvlText w:val="•"/>
      <w:lvlJc w:val="left"/>
      <w:pPr>
        <w:ind w:left="6347" w:hanging="317"/>
      </w:pPr>
      <w:rPr>
        <w:rFonts w:hint="default"/>
        <w:lang w:val="en-AU" w:eastAsia="en-AU" w:bidi="en-AU"/>
      </w:rPr>
    </w:lvl>
    <w:lvl w:ilvl="5" w:tplc="5E1A79FA">
      <w:numFmt w:val="bullet"/>
      <w:lvlText w:val="•"/>
      <w:lvlJc w:val="left"/>
      <w:pPr>
        <w:ind w:left="7689" w:hanging="317"/>
      </w:pPr>
      <w:rPr>
        <w:rFonts w:hint="default"/>
        <w:lang w:val="en-AU" w:eastAsia="en-AU" w:bidi="en-AU"/>
      </w:rPr>
    </w:lvl>
    <w:lvl w:ilvl="6" w:tplc="D1DEB7EC">
      <w:numFmt w:val="bullet"/>
      <w:lvlText w:val="•"/>
      <w:lvlJc w:val="left"/>
      <w:pPr>
        <w:ind w:left="9031" w:hanging="317"/>
      </w:pPr>
      <w:rPr>
        <w:rFonts w:hint="default"/>
        <w:lang w:val="en-AU" w:eastAsia="en-AU" w:bidi="en-AU"/>
      </w:rPr>
    </w:lvl>
    <w:lvl w:ilvl="7" w:tplc="520AD136">
      <w:numFmt w:val="bullet"/>
      <w:lvlText w:val="•"/>
      <w:lvlJc w:val="left"/>
      <w:pPr>
        <w:ind w:left="10372" w:hanging="317"/>
      </w:pPr>
      <w:rPr>
        <w:rFonts w:hint="default"/>
        <w:lang w:val="en-AU" w:eastAsia="en-AU" w:bidi="en-AU"/>
      </w:rPr>
    </w:lvl>
    <w:lvl w:ilvl="8" w:tplc="88D4C8CE">
      <w:numFmt w:val="bullet"/>
      <w:lvlText w:val="•"/>
      <w:lvlJc w:val="left"/>
      <w:pPr>
        <w:ind w:left="11714" w:hanging="317"/>
      </w:pPr>
      <w:rPr>
        <w:rFonts w:hint="default"/>
        <w:lang w:val="en-AU" w:eastAsia="en-AU" w:bidi="en-AU"/>
      </w:rPr>
    </w:lvl>
  </w:abstractNum>
  <w:abstractNum w:abstractNumId="20" w15:restartNumberingAfterBreak="0">
    <w:nsid w:val="6C3F7916"/>
    <w:multiLevelType w:val="hybridMultilevel"/>
    <w:tmpl w:val="3228ACD4"/>
    <w:lvl w:ilvl="0" w:tplc="AB12510E">
      <w:numFmt w:val="bullet"/>
      <w:lvlText w:val=""/>
      <w:lvlJc w:val="left"/>
      <w:pPr>
        <w:ind w:left="820" w:hanging="360"/>
      </w:pPr>
      <w:rPr>
        <w:rFonts w:ascii="Symbol" w:eastAsia="Symbol" w:hAnsi="Symbol" w:cs="Symbol" w:hint="default"/>
        <w:w w:val="100"/>
        <w:sz w:val="22"/>
        <w:szCs w:val="22"/>
        <w:lang w:val="en-AU" w:eastAsia="en-AU" w:bidi="en-AU"/>
      </w:rPr>
    </w:lvl>
    <w:lvl w:ilvl="1" w:tplc="F33876CC">
      <w:numFmt w:val="bullet"/>
      <w:lvlText w:val="•"/>
      <w:lvlJc w:val="left"/>
      <w:pPr>
        <w:ind w:left="1662" w:hanging="360"/>
      </w:pPr>
      <w:rPr>
        <w:rFonts w:hint="default"/>
        <w:lang w:val="en-AU" w:eastAsia="en-AU" w:bidi="en-AU"/>
      </w:rPr>
    </w:lvl>
    <w:lvl w:ilvl="2" w:tplc="DD3831F0">
      <w:numFmt w:val="bullet"/>
      <w:lvlText w:val="•"/>
      <w:lvlJc w:val="left"/>
      <w:pPr>
        <w:ind w:left="2505" w:hanging="360"/>
      </w:pPr>
      <w:rPr>
        <w:rFonts w:hint="default"/>
        <w:lang w:val="en-AU" w:eastAsia="en-AU" w:bidi="en-AU"/>
      </w:rPr>
    </w:lvl>
    <w:lvl w:ilvl="3" w:tplc="4FC00E0E">
      <w:numFmt w:val="bullet"/>
      <w:lvlText w:val="•"/>
      <w:lvlJc w:val="left"/>
      <w:pPr>
        <w:ind w:left="3347" w:hanging="360"/>
      </w:pPr>
      <w:rPr>
        <w:rFonts w:hint="default"/>
        <w:lang w:val="en-AU" w:eastAsia="en-AU" w:bidi="en-AU"/>
      </w:rPr>
    </w:lvl>
    <w:lvl w:ilvl="4" w:tplc="7CD8FEAC">
      <w:numFmt w:val="bullet"/>
      <w:lvlText w:val="•"/>
      <w:lvlJc w:val="left"/>
      <w:pPr>
        <w:ind w:left="4190" w:hanging="360"/>
      </w:pPr>
      <w:rPr>
        <w:rFonts w:hint="default"/>
        <w:lang w:val="en-AU" w:eastAsia="en-AU" w:bidi="en-AU"/>
      </w:rPr>
    </w:lvl>
    <w:lvl w:ilvl="5" w:tplc="B072A722">
      <w:numFmt w:val="bullet"/>
      <w:lvlText w:val="•"/>
      <w:lvlJc w:val="left"/>
      <w:pPr>
        <w:ind w:left="5033" w:hanging="360"/>
      </w:pPr>
      <w:rPr>
        <w:rFonts w:hint="default"/>
        <w:lang w:val="en-AU" w:eastAsia="en-AU" w:bidi="en-AU"/>
      </w:rPr>
    </w:lvl>
    <w:lvl w:ilvl="6" w:tplc="590C7460">
      <w:numFmt w:val="bullet"/>
      <w:lvlText w:val="•"/>
      <w:lvlJc w:val="left"/>
      <w:pPr>
        <w:ind w:left="5875" w:hanging="360"/>
      </w:pPr>
      <w:rPr>
        <w:rFonts w:hint="default"/>
        <w:lang w:val="en-AU" w:eastAsia="en-AU" w:bidi="en-AU"/>
      </w:rPr>
    </w:lvl>
    <w:lvl w:ilvl="7" w:tplc="FB022968">
      <w:numFmt w:val="bullet"/>
      <w:lvlText w:val="•"/>
      <w:lvlJc w:val="left"/>
      <w:pPr>
        <w:ind w:left="6718" w:hanging="360"/>
      </w:pPr>
      <w:rPr>
        <w:rFonts w:hint="default"/>
        <w:lang w:val="en-AU" w:eastAsia="en-AU" w:bidi="en-AU"/>
      </w:rPr>
    </w:lvl>
    <w:lvl w:ilvl="8" w:tplc="CF30DB84">
      <w:numFmt w:val="bullet"/>
      <w:lvlText w:val="•"/>
      <w:lvlJc w:val="left"/>
      <w:pPr>
        <w:ind w:left="7561" w:hanging="360"/>
      </w:pPr>
      <w:rPr>
        <w:rFonts w:hint="default"/>
        <w:lang w:val="en-AU" w:eastAsia="en-AU" w:bidi="en-AU"/>
      </w:rPr>
    </w:lvl>
  </w:abstractNum>
  <w:abstractNum w:abstractNumId="21" w15:restartNumberingAfterBreak="0">
    <w:nsid w:val="6E02142D"/>
    <w:multiLevelType w:val="hybridMultilevel"/>
    <w:tmpl w:val="4DBA4FF8"/>
    <w:lvl w:ilvl="0" w:tplc="644E6432">
      <w:numFmt w:val="bullet"/>
      <w:lvlText w:val=""/>
      <w:lvlJc w:val="left"/>
      <w:pPr>
        <w:ind w:left="1548" w:hanging="720"/>
      </w:pPr>
      <w:rPr>
        <w:rFonts w:ascii="Symbol" w:eastAsia="Symbol" w:hAnsi="Symbol" w:cs="Symbol" w:hint="default"/>
        <w:w w:val="99"/>
        <w:sz w:val="20"/>
        <w:szCs w:val="20"/>
        <w:lang w:val="en-AU" w:eastAsia="en-AU" w:bidi="en-AU"/>
      </w:rPr>
    </w:lvl>
    <w:lvl w:ilvl="1" w:tplc="5FBAC4CE">
      <w:numFmt w:val="bullet"/>
      <w:lvlText w:val="•"/>
      <w:lvlJc w:val="left"/>
      <w:pPr>
        <w:ind w:left="2802" w:hanging="720"/>
      </w:pPr>
      <w:rPr>
        <w:rFonts w:hint="default"/>
        <w:lang w:val="en-AU" w:eastAsia="en-AU" w:bidi="en-AU"/>
      </w:rPr>
    </w:lvl>
    <w:lvl w:ilvl="2" w:tplc="C3DE9108">
      <w:numFmt w:val="bullet"/>
      <w:lvlText w:val="•"/>
      <w:lvlJc w:val="left"/>
      <w:pPr>
        <w:ind w:left="4065" w:hanging="720"/>
      </w:pPr>
      <w:rPr>
        <w:rFonts w:hint="default"/>
        <w:lang w:val="en-AU" w:eastAsia="en-AU" w:bidi="en-AU"/>
      </w:rPr>
    </w:lvl>
    <w:lvl w:ilvl="3" w:tplc="5B482B72">
      <w:numFmt w:val="bullet"/>
      <w:lvlText w:val="•"/>
      <w:lvlJc w:val="left"/>
      <w:pPr>
        <w:ind w:left="5328" w:hanging="720"/>
      </w:pPr>
      <w:rPr>
        <w:rFonts w:hint="default"/>
        <w:lang w:val="en-AU" w:eastAsia="en-AU" w:bidi="en-AU"/>
      </w:rPr>
    </w:lvl>
    <w:lvl w:ilvl="4" w:tplc="16E00698">
      <w:numFmt w:val="bullet"/>
      <w:lvlText w:val="•"/>
      <w:lvlJc w:val="left"/>
      <w:pPr>
        <w:ind w:left="6590" w:hanging="720"/>
      </w:pPr>
      <w:rPr>
        <w:rFonts w:hint="default"/>
        <w:lang w:val="en-AU" w:eastAsia="en-AU" w:bidi="en-AU"/>
      </w:rPr>
    </w:lvl>
    <w:lvl w:ilvl="5" w:tplc="60C257BC">
      <w:numFmt w:val="bullet"/>
      <w:lvlText w:val="•"/>
      <w:lvlJc w:val="left"/>
      <w:pPr>
        <w:ind w:left="7853" w:hanging="720"/>
      </w:pPr>
      <w:rPr>
        <w:rFonts w:hint="default"/>
        <w:lang w:val="en-AU" w:eastAsia="en-AU" w:bidi="en-AU"/>
      </w:rPr>
    </w:lvl>
    <w:lvl w:ilvl="6" w:tplc="5CD6DFCC">
      <w:numFmt w:val="bullet"/>
      <w:lvlText w:val="•"/>
      <w:lvlJc w:val="left"/>
      <w:pPr>
        <w:ind w:left="9116" w:hanging="720"/>
      </w:pPr>
      <w:rPr>
        <w:rFonts w:hint="default"/>
        <w:lang w:val="en-AU" w:eastAsia="en-AU" w:bidi="en-AU"/>
      </w:rPr>
    </w:lvl>
    <w:lvl w:ilvl="7" w:tplc="50B6E534">
      <w:numFmt w:val="bullet"/>
      <w:lvlText w:val="•"/>
      <w:lvlJc w:val="left"/>
      <w:pPr>
        <w:ind w:left="10378" w:hanging="720"/>
      </w:pPr>
      <w:rPr>
        <w:rFonts w:hint="default"/>
        <w:lang w:val="en-AU" w:eastAsia="en-AU" w:bidi="en-AU"/>
      </w:rPr>
    </w:lvl>
    <w:lvl w:ilvl="8" w:tplc="9F96EB52">
      <w:numFmt w:val="bullet"/>
      <w:lvlText w:val="•"/>
      <w:lvlJc w:val="left"/>
      <w:pPr>
        <w:ind w:left="11641" w:hanging="720"/>
      </w:pPr>
      <w:rPr>
        <w:rFonts w:hint="default"/>
        <w:lang w:val="en-AU" w:eastAsia="en-AU" w:bidi="en-AU"/>
      </w:rPr>
    </w:lvl>
  </w:abstractNum>
  <w:abstractNum w:abstractNumId="22" w15:restartNumberingAfterBreak="0">
    <w:nsid w:val="73427C39"/>
    <w:multiLevelType w:val="hybridMultilevel"/>
    <w:tmpl w:val="DABE2BB2"/>
    <w:lvl w:ilvl="0" w:tplc="A9BC4146">
      <w:start w:val="1"/>
      <w:numFmt w:val="lowerRoman"/>
      <w:lvlText w:val="%1)"/>
      <w:lvlJc w:val="left"/>
      <w:pPr>
        <w:ind w:left="980" w:hanging="363"/>
      </w:pPr>
      <w:rPr>
        <w:rFonts w:hint="default"/>
        <w:spacing w:val="-2"/>
        <w:w w:val="100"/>
        <w:lang w:val="en-AU" w:eastAsia="en-AU" w:bidi="en-AU"/>
      </w:rPr>
    </w:lvl>
    <w:lvl w:ilvl="1" w:tplc="84A29A4A">
      <w:numFmt w:val="bullet"/>
      <w:lvlText w:val="•"/>
      <w:lvlJc w:val="left"/>
      <w:pPr>
        <w:ind w:left="1832" w:hanging="363"/>
      </w:pPr>
      <w:rPr>
        <w:rFonts w:hint="default"/>
        <w:lang w:val="en-AU" w:eastAsia="en-AU" w:bidi="en-AU"/>
      </w:rPr>
    </w:lvl>
    <w:lvl w:ilvl="2" w:tplc="7A105AAA">
      <w:numFmt w:val="bullet"/>
      <w:lvlText w:val="•"/>
      <w:lvlJc w:val="left"/>
      <w:pPr>
        <w:ind w:left="2685" w:hanging="363"/>
      </w:pPr>
      <w:rPr>
        <w:rFonts w:hint="default"/>
        <w:lang w:val="en-AU" w:eastAsia="en-AU" w:bidi="en-AU"/>
      </w:rPr>
    </w:lvl>
    <w:lvl w:ilvl="3" w:tplc="96C8E1E0">
      <w:numFmt w:val="bullet"/>
      <w:lvlText w:val="•"/>
      <w:lvlJc w:val="left"/>
      <w:pPr>
        <w:ind w:left="3537" w:hanging="363"/>
      </w:pPr>
      <w:rPr>
        <w:rFonts w:hint="default"/>
        <w:lang w:val="en-AU" w:eastAsia="en-AU" w:bidi="en-AU"/>
      </w:rPr>
    </w:lvl>
    <w:lvl w:ilvl="4" w:tplc="0CB25C06">
      <w:numFmt w:val="bullet"/>
      <w:lvlText w:val="•"/>
      <w:lvlJc w:val="left"/>
      <w:pPr>
        <w:ind w:left="4390" w:hanging="363"/>
      </w:pPr>
      <w:rPr>
        <w:rFonts w:hint="default"/>
        <w:lang w:val="en-AU" w:eastAsia="en-AU" w:bidi="en-AU"/>
      </w:rPr>
    </w:lvl>
    <w:lvl w:ilvl="5" w:tplc="AEAEEA72">
      <w:numFmt w:val="bullet"/>
      <w:lvlText w:val="•"/>
      <w:lvlJc w:val="left"/>
      <w:pPr>
        <w:ind w:left="5243" w:hanging="363"/>
      </w:pPr>
      <w:rPr>
        <w:rFonts w:hint="default"/>
        <w:lang w:val="en-AU" w:eastAsia="en-AU" w:bidi="en-AU"/>
      </w:rPr>
    </w:lvl>
    <w:lvl w:ilvl="6" w:tplc="9EE436D0">
      <w:numFmt w:val="bullet"/>
      <w:lvlText w:val="•"/>
      <w:lvlJc w:val="left"/>
      <w:pPr>
        <w:ind w:left="6095" w:hanging="363"/>
      </w:pPr>
      <w:rPr>
        <w:rFonts w:hint="default"/>
        <w:lang w:val="en-AU" w:eastAsia="en-AU" w:bidi="en-AU"/>
      </w:rPr>
    </w:lvl>
    <w:lvl w:ilvl="7" w:tplc="4CAA9108">
      <w:numFmt w:val="bullet"/>
      <w:lvlText w:val="•"/>
      <w:lvlJc w:val="left"/>
      <w:pPr>
        <w:ind w:left="6948" w:hanging="363"/>
      </w:pPr>
      <w:rPr>
        <w:rFonts w:hint="default"/>
        <w:lang w:val="en-AU" w:eastAsia="en-AU" w:bidi="en-AU"/>
      </w:rPr>
    </w:lvl>
    <w:lvl w:ilvl="8" w:tplc="7794FB54">
      <w:numFmt w:val="bullet"/>
      <w:lvlText w:val="•"/>
      <w:lvlJc w:val="left"/>
      <w:pPr>
        <w:ind w:left="7801" w:hanging="363"/>
      </w:pPr>
      <w:rPr>
        <w:rFonts w:hint="default"/>
        <w:lang w:val="en-AU" w:eastAsia="en-AU" w:bidi="en-AU"/>
      </w:rPr>
    </w:lvl>
  </w:abstractNum>
  <w:abstractNum w:abstractNumId="23" w15:restartNumberingAfterBreak="0">
    <w:nsid w:val="790D3E01"/>
    <w:multiLevelType w:val="multilevel"/>
    <w:tmpl w:val="EB3864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E1410AC"/>
    <w:multiLevelType w:val="hybridMultilevel"/>
    <w:tmpl w:val="844CE57E"/>
    <w:lvl w:ilvl="0" w:tplc="BA6AEFAC">
      <w:numFmt w:val="bullet"/>
      <w:lvlText w:val=""/>
      <w:lvlJc w:val="left"/>
      <w:pPr>
        <w:ind w:left="878" w:hanging="361"/>
      </w:pPr>
      <w:rPr>
        <w:rFonts w:ascii="Symbol" w:eastAsia="Symbol" w:hAnsi="Symbol" w:cs="Symbol" w:hint="default"/>
        <w:w w:val="99"/>
        <w:sz w:val="20"/>
        <w:szCs w:val="20"/>
        <w:lang w:val="en-AU" w:eastAsia="en-AU" w:bidi="en-AU"/>
      </w:rPr>
    </w:lvl>
    <w:lvl w:ilvl="1" w:tplc="3C7CECA4">
      <w:numFmt w:val="bullet"/>
      <w:lvlText w:val="•"/>
      <w:lvlJc w:val="left"/>
      <w:pPr>
        <w:ind w:left="1248" w:hanging="361"/>
      </w:pPr>
      <w:rPr>
        <w:rFonts w:hint="default"/>
        <w:lang w:val="en-AU" w:eastAsia="en-AU" w:bidi="en-AU"/>
      </w:rPr>
    </w:lvl>
    <w:lvl w:ilvl="2" w:tplc="F24CD84C">
      <w:numFmt w:val="bullet"/>
      <w:lvlText w:val="•"/>
      <w:lvlJc w:val="left"/>
      <w:pPr>
        <w:ind w:left="1616" w:hanging="361"/>
      </w:pPr>
      <w:rPr>
        <w:rFonts w:hint="default"/>
        <w:lang w:val="en-AU" w:eastAsia="en-AU" w:bidi="en-AU"/>
      </w:rPr>
    </w:lvl>
    <w:lvl w:ilvl="3" w:tplc="772EA0EE">
      <w:numFmt w:val="bullet"/>
      <w:lvlText w:val="•"/>
      <w:lvlJc w:val="left"/>
      <w:pPr>
        <w:ind w:left="1984" w:hanging="361"/>
      </w:pPr>
      <w:rPr>
        <w:rFonts w:hint="default"/>
        <w:lang w:val="en-AU" w:eastAsia="en-AU" w:bidi="en-AU"/>
      </w:rPr>
    </w:lvl>
    <w:lvl w:ilvl="4" w:tplc="5C524090">
      <w:numFmt w:val="bullet"/>
      <w:lvlText w:val="•"/>
      <w:lvlJc w:val="left"/>
      <w:pPr>
        <w:ind w:left="2353" w:hanging="361"/>
      </w:pPr>
      <w:rPr>
        <w:rFonts w:hint="default"/>
        <w:lang w:val="en-AU" w:eastAsia="en-AU" w:bidi="en-AU"/>
      </w:rPr>
    </w:lvl>
    <w:lvl w:ilvl="5" w:tplc="3228B570">
      <w:numFmt w:val="bullet"/>
      <w:lvlText w:val="•"/>
      <w:lvlJc w:val="left"/>
      <w:pPr>
        <w:ind w:left="2721" w:hanging="361"/>
      </w:pPr>
      <w:rPr>
        <w:rFonts w:hint="default"/>
        <w:lang w:val="en-AU" w:eastAsia="en-AU" w:bidi="en-AU"/>
      </w:rPr>
    </w:lvl>
    <w:lvl w:ilvl="6" w:tplc="049AC06A">
      <w:numFmt w:val="bullet"/>
      <w:lvlText w:val="•"/>
      <w:lvlJc w:val="left"/>
      <w:pPr>
        <w:ind w:left="3089" w:hanging="361"/>
      </w:pPr>
      <w:rPr>
        <w:rFonts w:hint="default"/>
        <w:lang w:val="en-AU" w:eastAsia="en-AU" w:bidi="en-AU"/>
      </w:rPr>
    </w:lvl>
    <w:lvl w:ilvl="7" w:tplc="2E5CFEF4">
      <w:numFmt w:val="bullet"/>
      <w:lvlText w:val="•"/>
      <w:lvlJc w:val="left"/>
      <w:pPr>
        <w:ind w:left="3457" w:hanging="361"/>
      </w:pPr>
      <w:rPr>
        <w:rFonts w:hint="default"/>
        <w:lang w:val="en-AU" w:eastAsia="en-AU" w:bidi="en-AU"/>
      </w:rPr>
    </w:lvl>
    <w:lvl w:ilvl="8" w:tplc="783C272C">
      <w:numFmt w:val="bullet"/>
      <w:lvlText w:val="•"/>
      <w:lvlJc w:val="left"/>
      <w:pPr>
        <w:ind w:left="3826" w:hanging="361"/>
      </w:pPr>
      <w:rPr>
        <w:rFonts w:hint="default"/>
        <w:lang w:val="en-AU" w:eastAsia="en-AU" w:bidi="en-AU"/>
      </w:rPr>
    </w:lvl>
  </w:abstractNum>
  <w:abstractNum w:abstractNumId="25" w15:restartNumberingAfterBreak="0">
    <w:nsid w:val="7F2D286D"/>
    <w:multiLevelType w:val="hybridMultilevel"/>
    <w:tmpl w:val="4582FDD2"/>
    <w:lvl w:ilvl="0" w:tplc="E5B60EC6">
      <w:numFmt w:val="bullet"/>
      <w:lvlText w:val=""/>
      <w:lvlJc w:val="left"/>
      <w:pPr>
        <w:ind w:left="973" w:hanging="356"/>
      </w:pPr>
      <w:rPr>
        <w:rFonts w:ascii="Symbol" w:eastAsia="Symbol" w:hAnsi="Symbol" w:cs="Symbol" w:hint="default"/>
        <w:w w:val="100"/>
        <w:sz w:val="22"/>
        <w:szCs w:val="22"/>
        <w:lang w:val="en-AU" w:eastAsia="en-AU" w:bidi="en-AU"/>
      </w:rPr>
    </w:lvl>
    <w:lvl w:ilvl="1" w:tplc="103E559C">
      <w:numFmt w:val="bullet"/>
      <w:lvlText w:val="•"/>
      <w:lvlJc w:val="left"/>
      <w:pPr>
        <w:ind w:left="1832" w:hanging="356"/>
      </w:pPr>
      <w:rPr>
        <w:rFonts w:hint="default"/>
        <w:lang w:val="en-AU" w:eastAsia="en-AU" w:bidi="en-AU"/>
      </w:rPr>
    </w:lvl>
    <w:lvl w:ilvl="2" w:tplc="A8F66410">
      <w:numFmt w:val="bullet"/>
      <w:lvlText w:val="•"/>
      <w:lvlJc w:val="left"/>
      <w:pPr>
        <w:ind w:left="2685" w:hanging="356"/>
      </w:pPr>
      <w:rPr>
        <w:rFonts w:hint="default"/>
        <w:lang w:val="en-AU" w:eastAsia="en-AU" w:bidi="en-AU"/>
      </w:rPr>
    </w:lvl>
    <w:lvl w:ilvl="3" w:tplc="3224EF54">
      <w:numFmt w:val="bullet"/>
      <w:lvlText w:val="•"/>
      <w:lvlJc w:val="left"/>
      <w:pPr>
        <w:ind w:left="3537" w:hanging="356"/>
      </w:pPr>
      <w:rPr>
        <w:rFonts w:hint="default"/>
        <w:lang w:val="en-AU" w:eastAsia="en-AU" w:bidi="en-AU"/>
      </w:rPr>
    </w:lvl>
    <w:lvl w:ilvl="4" w:tplc="318E812A">
      <w:numFmt w:val="bullet"/>
      <w:lvlText w:val="•"/>
      <w:lvlJc w:val="left"/>
      <w:pPr>
        <w:ind w:left="4390" w:hanging="356"/>
      </w:pPr>
      <w:rPr>
        <w:rFonts w:hint="default"/>
        <w:lang w:val="en-AU" w:eastAsia="en-AU" w:bidi="en-AU"/>
      </w:rPr>
    </w:lvl>
    <w:lvl w:ilvl="5" w:tplc="AE88291A">
      <w:numFmt w:val="bullet"/>
      <w:lvlText w:val="•"/>
      <w:lvlJc w:val="left"/>
      <w:pPr>
        <w:ind w:left="5243" w:hanging="356"/>
      </w:pPr>
      <w:rPr>
        <w:rFonts w:hint="default"/>
        <w:lang w:val="en-AU" w:eastAsia="en-AU" w:bidi="en-AU"/>
      </w:rPr>
    </w:lvl>
    <w:lvl w:ilvl="6" w:tplc="3B1C355A">
      <w:numFmt w:val="bullet"/>
      <w:lvlText w:val="•"/>
      <w:lvlJc w:val="left"/>
      <w:pPr>
        <w:ind w:left="6095" w:hanging="356"/>
      </w:pPr>
      <w:rPr>
        <w:rFonts w:hint="default"/>
        <w:lang w:val="en-AU" w:eastAsia="en-AU" w:bidi="en-AU"/>
      </w:rPr>
    </w:lvl>
    <w:lvl w:ilvl="7" w:tplc="1ECE1E34">
      <w:numFmt w:val="bullet"/>
      <w:lvlText w:val="•"/>
      <w:lvlJc w:val="left"/>
      <w:pPr>
        <w:ind w:left="6948" w:hanging="356"/>
      </w:pPr>
      <w:rPr>
        <w:rFonts w:hint="default"/>
        <w:lang w:val="en-AU" w:eastAsia="en-AU" w:bidi="en-AU"/>
      </w:rPr>
    </w:lvl>
    <w:lvl w:ilvl="8" w:tplc="3AA2BC16">
      <w:numFmt w:val="bullet"/>
      <w:lvlText w:val="•"/>
      <w:lvlJc w:val="left"/>
      <w:pPr>
        <w:ind w:left="7801" w:hanging="356"/>
      </w:pPr>
      <w:rPr>
        <w:rFonts w:hint="default"/>
        <w:lang w:val="en-AU" w:eastAsia="en-AU" w:bidi="en-AU"/>
      </w:rPr>
    </w:lvl>
  </w:abstractNum>
  <w:abstractNum w:abstractNumId="26" w15:restartNumberingAfterBreak="0">
    <w:nsid w:val="7F5945BA"/>
    <w:multiLevelType w:val="hybridMultilevel"/>
    <w:tmpl w:val="769CD070"/>
    <w:lvl w:ilvl="0" w:tplc="F4809644">
      <w:start w:val="1"/>
      <w:numFmt w:val="lowerRoman"/>
      <w:lvlText w:val="%1)"/>
      <w:lvlJc w:val="left"/>
      <w:pPr>
        <w:ind w:left="980" w:hanging="363"/>
      </w:pPr>
      <w:rPr>
        <w:rFonts w:hint="default"/>
        <w:spacing w:val="-2"/>
        <w:w w:val="100"/>
        <w:lang w:val="en-AU" w:eastAsia="en-AU" w:bidi="en-AU"/>
      </w:rPr>
    </w:lvl>
    <w:lvl w:ilvl="1" w:tplc="5380DA32">
      <w:numFmt w:val="bullet"/>
      <w:lvlText w:val="•"/>
      <w:lvlJc w:val="left"/>
      <w:pPr>
        <w:ind w:left="1832" w:hanging="363"/>
      </w:pPr>
      <w:rPr>
        <w:rFonts w:hint="default"/>
        <w:lang w:val="en-AU" w:eastAsia="en-AU" w:bidi="en-AU"/>
      </w:rPr>
    </w:lvl>
    <w:lvl w:ilvl="2" w:tplc="69FECC28">
      <w:numFmt w:val="bullet"/>
      <w:lvlText w:val="•"/>
      <w:lvlJc w:val="left"/>
      <w:pPr>
        <w:ind w:left="2685" w:hanging="363"/>
      </w:pPr>
      <w:rPr>
        <w:rFonts w:hint="default"/>
        <w:lang w:val="en-AU" w:eastAsia="en-AU" w:bidi="en-AU"/>
      </w:rPr>
    </w:lvl>
    <w:lvl w:ilvl="3" w:tplc="D16EDF26">
      <w:numFmt w:val="bullet"/>
      <w:lvlText w:val="•"/>
      <w:lvlJc w:val="left"/>
      <w:pPr>
        <w:ind w:left="3537" w:hanging="363"/>
      </w:pPr>
      <w:rPr>
        <w:rFonts w:hint="default"/>
        <w:lang w:val="en-AU" w:eastAsia="en-AU" w:bidi="en-AU"/>
      </w:rPr>
    </w:lvl>
    <w:lvl w:ilvl="4" w:tplc="7406751E">
      <w:numFmt w:val="bullet"/>
      <w:lvlText w:val="•"/>
      <w:lvlJc w:val="left"/>
      <w:pPr>
        <w:ind w:left="4390" w:hanging="363"/>
      </w:pPr>
      <w:rPr>
        <w:rFonts w:hint="default"/>
        <w:lang w:val="en-AU" w:eastAsia="en-AU" w:bidi="en-AU"/>
      </w:rPr>
    </w:lvl>
    <w:lvl w:ilvl="5" w:tplc="647E9E8E">
      <w:numFmt w:val="bullet"/>
      <w:lvlText w:val="•"/>
      <w:lvlJc w:val="left"/>
      <w:pPr>
        <w:ind w:left="5243" w:hanging="363"/>
      </w:pPr>
      <w:rPr>
        <w:rFonts w:hint="default"/>
        <w:lang w:val="en-AU" w:eastAsia="en-AU" w:bidi="en-AU"/>
      </w:rPr>
    </w:lvl>
    <w:lvl w:ilvl="6" w:tplc="195C4462">
      <w:numFmt w:val="bullet"/>
      <w:lvlText w:val="•"/>
      <w:lvlJc w:val="left"/>
      <w:pPr>
        <w:ind w:left="6095" w:hanging="363"/>
      </w:pPr>
      <w:rPr>
        <w:rFonts w:hint="default"/>
        <w:lang w:val="en-AU" w:eastAsia="en-AU" w:bidi="en-AU"/>
      </w:rPr>
    </w:lvl>
    <w:lvl w:ilvl="7" w:tplc="B282B04A">
      <w:numFmt w:val="bullet"/>
      <w:lvlText w:val="•"/>
      <w:lvlJc w:val="left"/>
      <w:pPr>
        <w:ind w:left="6948" w:hanging="363"/>
      </w:pPr>
      <w:rPr>
        <w:rFonts w:hint="default"/>
        <w:lang w:val="en-AU" w:eastAsia="en-AU" w:bidi="en-AU"/>
      </w:rPr>
    </w:lvl>
    <w:lvl w:ilvl="8" w:tplc="79B23B58">
      <w:numFmt w:val="bullet"/>
      <w:lvlText w:val="•"/>
      <w:lvlJc w:val="left"/>
      <w:pPr>
        <w:ind w:left="7801" w:hanging="363"/>
      </w:pPr>
      <w:rPr>
        <w:rFonts w:hint="default"/>
        <w:lang w:val="en-AU" w:eastAsia="en-AU" w:bidi="en-AU"/>
      </w:rPr>
    </w:lvl>
  </w:abstractNum>
  <w:num w:numId="1">
    <w:abstractNumId w:val="20"/>
  </w:num>
  <w:num w:numId="2">
    <w:abstractNumId w:val="0"/>
  </w:num>
  <w:num w:numId="3">
    <w:abstractNumId w:val="19"/>
  </w:num>
  <w:num w:numId="4">
    <w:abstractNumId w:val="24"/>
  </w:num>
  <w:num w:numId="5">
    <w:abstractNumId w:val="3"/>
  </w:num>
  <w:num w:numId="6">
    <w:abstractNumId w:val="22"/>
  </w:num>
  <w:num w:numId="7">
    <w:abstractNumId w:val="14"/>
  </w:num>
  <w:num w:numId="8">
    <w:abstractNumId w:val="4"/>
  </w:num>
  <w:num w:numId="9">
    <w:abstractNumId w:val="21"/>
  </w:num>
  <w:num w:numId="10">
    <w:abstractNumId w:val="12"/>
  </w:num>
  <w:num w:numId="11">
    <w:abstractNumId w:val="11"/>
  </w:num>
  <w:num w:numId="12">
    <w:abstractNumId w:val="9"/>
  </w:num>
  <w:num w:numId="13">
    <w:abstractNumId w:val="26"/>
  </w:num>
  <w:num w:numId="14">
    <w:abstractNumId w:val="25"/>
  </w:num>
  <w:num w:numId="15">
    <w:abstractNumId w:val="7"/>
  </w:num>
  <w:num w:numId="16">
    <w:abstractNumId w:val="17"/>
  </w:num>
  <w:num w:numId="17">
    <w:abstractNumId w:val="13"/>
  </w:num>
  <w:num w:numId="18">
    <w:abstractNumId w:val="1"/>
  </w:num>
  <w:num w:numId="19">
    <w:abstractNumId w:val="2"/>
  </w:num>
  <w:num w:numId="20">
    <w:abstractNumId w:val="23"/>
  </w:num>
  <w:num w:numId="21">
    <w:abstractNumId w:val="18"/>
  </w:num>
  <w:num w:numId="22">
    <w:abstractNumId w:val="16"/>
  </w:num>
  <w:num w:numId="23">
    <w:abstractNumId w:val="10"/>
  </w:num>
  <w:num w:numId="24">
    <w:abstractNumId w:val="15"/>
  </w:num>
  <w:num w:numId="25">
    <w:abstractNumId w:val="6"/>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C"/>
    <w:rsid w:val="00002B1C"/>
    <w:rsid w:val="00004EBC"/>
    <w:rsid w:val="00006D75"/>
    <w:rsid w:val="000111B8"/>
    <w:rsid w:val="0004044C"/>
    <w:rsid w:val="0004351A"/>
    <w:rsid w:val="000609D2"/>
    <w:rsid w:val="00071912"/>
    <w:rsid w:val="000774D2"/>
    <w:rsid w:val="0008531B"/>
    <w:rsid w:val="000960A5"/>
    <w:rsid w:val="000B6A0A"/>
    <w:rsid w:val="000C6822"/>
    <w:rsid w:val="000C756E"/>
    <w:rsid w:val="000E0FEF"/>
    <w:rsid w:val="00110707"/>
    <w:rsid w:val="001244D5"/>
    <w:rsid w:val="00131BAC"/>
    <w:rsid w:val="0016047A"/>
    <w:rsid w:val="00160C8A"/>
    <w:rsid w:val="00162E13"/>
    <w:rsid w:val="00163AE9"/>
    <w:rsid w:val="001733E9"/>
    <w:rsid w:val="00192655"/>
    <w:rsid w:val="001B2991"/>
    <w:rsid w:val="001C16A1"/>
    <w:rsid w:val="001D7665"/>
    <w:rsid w:val="00205A5F"/>
    <w:rsid w:val="00214F4A"/>
    <w:rsid w:val="00217163"/>
    <w:rsid w:val="002439C1"/>
    <w:rsid w:val="002642B6"/>
    <w:rsid w:val="00270EC8"/>
    <w:rsid w:val="002776D6"/>
    <w:rsid w:val="00282205"/>
    <w:rsid w:val="00282527"/>
    <w:rsid w:val="00285F17"/>
    <w:rsid w:val="00291F3D"/>
    <w:rsid w:val="002B4766"/>
    <w:rsid w:val="002B5915"/>
    <w:rsid w:val="002C2810"/>
    <w:rsid w:val="002E5036"/>
    <w:rsid w:val="00301660"/>
    <w:rsid w:val="00310592"/>
    <w:rsid w:val="0031148B"/>
    <w:rsid w:val="00316F55"/>
    <w:rsid w:val="00322BF4"/>
    <w:rsid w:val="00350BE0"/>
    <w:rsid w:val="0036239F"/>
    <w:rsid w:val="00377849"/>
    <w:rsid w:val="00390478"/>
    <w:rsid w:val="003A5CDE"/>
    <w:rsid w:val="003B067B"/>
    <w:rsid w:val="003B52BC"/>
    <w:rsid w:val="003D3416"/>
    <w:rsid w:val="003D6F8A"/>
    <w:rsid w:val="003E280D"/>
    <w:rsid w:val="003F3258"/>
    <w:rsid w:val="003F3F99"/>
    <w:rsid w:val="00402FB1"/>
    <w:rsid w:val="00426C1E"/>
    <w:rsid w:val="00427A63"/>
    <w:rsid w:val="00431C53"/>
    <w:rsid w:val="00433B94"/>
    <w:rsid w:val="00433F3C"/>
    <w:rsid w:val="004405AA"/>
    <w:rsid w:val="00440939"/>
    <w:rsid w:val="00441D62"/>
    <w:rsid w:val="0045389A"/>
    <w:rsid w:val="004576C4"/>
    <w:rsid w:val="00476CD3"/>
    <w:rsid w:val="0047764D"/>
    <w:rsid w:val="00480FDB"/>
    <w:rsid w:val="004C7B43"/>
    <w:rsid w:val="004D2ABF"/>
    <w:rsid w:val="004D561A"/>
    <w:rsid w:val="004D63F0"/>
    <w:rsid w:val="004E7843"/>
    <w:rsid w:val="0051112D"/>
    <w:rsid w:val="005121AD"/>
    <w:rsid w:val="00534E92"/>
    <w:rsid w:val="00535D2D"/>
    <w:rsid w:val="00540E54"/>
    <w:rsid w:val="00550301"/>
    <w:rsid w:val="00562A35"/>
    <w:rsid w:val="00565472"/>
    <w:rsid w:val="005671BC"/>
    <w:rsid w:val="00570713"/>
    <w:rsid w:val="00586A88"/>
    <w:rsid w:val="005B02ED"/>
    <w:rsid w:val="005B131A"/>
    <w:rsid w:val="005B13DC"/>
    <w:rsid w:val="005B18BE"/>
    <w:rsid w:val="005C1C35"/>
    <w:rsid w:val="005D0759"/>
    <w:rsid w:val="005D37DF"/>
    <w:rsid w:val="005D48DC"/>
    <w:rsid w:val="005E2906"/>
    <w:rsid w:val="005F6D5A"/>
    <w:rsid w:val="006001ED"/>
    <w:rsid w:val="00606107"/>
    <w:rsid w:val="00630EB5"/>
    <w:rsid w:val="0065051D"/>
    <w:rsid w:val="00667F3B"/>
    <w:rsid w:val="00671D18"/>
    <w:rsid w:val="00677B39"/>
    <w:rsid w:val="00680D7B"/>
    <w:rsid w:val="00682F65"/>
    <w:rsid w:val="00685FCF"/>
    <w:rsid w:val="0068773B"/>
    <w:rsid w:val="006955B6"/>
    <w:rsid w:val="00696EE8"/>
    <w:rsid w:val="006A057A"/>
    <w:rsid w:val="006B778E"/>
    <w:rsid w:val="006D19F7"/>
    <w:rsid w:val="006E102E"/>
    <w:rsid w:val="006E638B"/>
    <w:rsid w:val="006F613E"/>
    <w:rsid w:val="00703525"/>
    <w:rsid w:val="00721046"/>
    <w:rsid w:val="00742130"/>
    <w:rsid w:val="00745629"/>
    <w:rsid w:val="007462AE"/>
    <w:rsid w:val="00752533"/>
    <w:rsid w:val="00754591"/>
    <w:rsid w:val="00754FC5"/>
    <w:rsid w:val="007601BD"/>
    <w:rsid w:val="00764A9D"/>
    <w:rsid w:val="00765CCB"/>
    <w:rsid w:val="00770C7D"/>
    <w:rsid w:val="00772749"/>
    <w:rsid w:val="00784227"/>
    <w:rsid w:val="00785787"/>
    <w:rsid w:val="007A2693"/>
    <w:rsid w:val="007A4617"/>
    <w:rsid w:val="007A5D71"/>
    <w:rsid w:val="007D6550"/>
    <w:rsid w:val="007F04DD"/>
    <w:rsid w:val="007F07A5"/>
    <w:rsid w:val="007F3CE1"/>
    <w:rsid w:val="00800AEE"/>
    <w:rsid w:val="00826CA8"/>
    <w:rsid w:val="00834280"/>
    <w:rsid w:val="00882E22"/>
    <w:rsid w:val="00891015"/>
    <w:rsid w:val="00891C9F"/>
    <w:rsid w:val="008B3253"/>
    <w:rsid w:val="008C1B4B"/>
    <w:rsid w:val="008C4BCB"/>
    <w:rsid w:val="008D1DE6"/>
    <w:rsid w:val="008D2248"/>
    <w:rsid w:val="008E1EF7"/>
    <w:rsid w:val="008E4B7D"/>
    <w:rsid w:val="008E6FF6"/>
    <w:rsid w:val="008E70A6"/>
    <w:rsid w:val="00915AB6"/>
    <w:rsid w:val="009208D3"/>
    <w:rsid w:val="00927FAE"/>
    <w:rsid w:val="00934109"/>
    <w:rsid w:val="00956A85"/>
    <w:rsid w:val="00960AC4"/>
    <w:rsid w:val="00963D6C"/>
    <w:rsid w:val="00982278"/>
    <w:rsid w:val="0098332C"/>
    <w:rsid w:val="0099221B"/>
    <w:rsid w:val="009A0BD2"/>
    <w:rsid w:val="009B27CD"/>
    <w:rsid w:val="009B7D24"/>
    <w:rsid w:val="009C12D4"/>
    <w:rsid w:val="009C297E"/>
    <w:rsid w:val="009D3FF2"/>
    <w:rsid w:val="009F047D"/>
    <w:rsid w:val="009F4205"/>
    <w:rsid w:val="009F5879"/>
    <w:rsid w:val="009F66BF"/>
    <w:rsid w:val="00A02826"/>
    <w:rsid w:val="00A303CB"/>
    <w:rsid w:val="00A46AB1"/>
    <w:rsid w:val="00A47C31"/>
    <w:rsid w:val="00A6400D"/>
    <w:rsid w:val="00A65D8F"/>
    <w:rsid w:val="00A76B34"/>
    <w:rsid w:val="00A81F51"/>
    <w:rsid w:val="00A94468"/>
    <w:rsid w:val="00AB1C44"/>
    <w:rsid w:val="00AE0E3A"/>
    <w:rsid w:val="00AF0C14"/>
    <w:rsid w:val="00AF5142"/>
    <w:rsid w:val="00AF5455"/>
    <w:rsid w:val="00B0239B"/>
    <w:rsid w:val="00B147CA"/>
    <w:rsid w:val="00B147FA"/>
    <w:rsid w:val="00B17B44"/>
    <w:rsid w:val="00B2681A"/>
    <w:rsid w:val="00B414AA"/>
    <w:rsid w:val="00B42AA9"/>
    <w:rsid w:val="00B467F1"/>
    <w:rsid w:val="00B55F70"/>
    <w:rsid w:val="00B6013D"/>
    <w:rsid w:val="00B6614C"/>
    <w:rsid w:val="00B85F1E"/>
    <w:rsid w:val="00B915EE"/>
    <w:rsid w:val="00BA2089"/>
    <w:rsid w:val="00BA469C"/>
    <w:rsid w:val="00BB6F4C"/>
    <w:rsid w:val="00BC063E"/>
    <w:rsid w:val="00BD3898"/>
    <w:rsid w:val="00BD38AC"/>
    <w:rsid w:val="00BE61A4"/>
    <w:rsid w:val="00BF0F28"/>
    <w:rsid w:val="00BF2083"/>
    <w:rsid w:val="00C011F8"/>
    <w:rsid w:val="00C02C22"/>
    <w:rsid w:val="00C357FA"/>
    <w:rsid w:val="00C457AE"/>
    <w:rsid w:val="00C51978"/>
    <w:rsid w:val="00C57C7E"/>
    <w:rsid w:val="00C62764"/>
    <w:rsid w:val="00C651FE"/>
    <w:rsid w:val="00C8137B"/>
    <w:rsid w:val="00C93294"/>
    <w:rsid w:val="00CB1F5E"/>
    <w:rsid w:val="00CC180E"/>
    <w:rsid w:val="00CC1834"/>
    <w:rsid w:val="00CD43BF"/>
    <w:rsid w:val="00CD79C3"/>
    <w:rsid w:val="00CE17B9"/>
    <w:rsid w:val="00CF4831"/>
    <w:rsid w:val="00CF5436"/>
    <w:rsid w:val="00CF61D0"/>
    <w:rsid w:val="00CF7F2F"/>
    <w:rsid w:val="00D10232"/>
    <w:rsid w:val="00D135CA"/>
    <w:rsid w:val="00D23991"/>
    <w:rsid w:val="00D3784C"/>
    <w:rsid w:val="00D41241"/>
    <w:rsid w:val="00D464BF"/>
    <w:rsid w:val="00D505E0"/>
    <w:rsid w:val="00D50AAD"/>
    <w:rsid w:val="00D51F6D"/>
    <w:rsid w:val="00D56DE8"/>
    <w:rsid w:val="00D73483"/>
    <w:rsid w:val="00D8204D"/>
    <w:rsid w:val="00D94308"/>
    <w:rsid w:val="00DD2281"/>
    <w:rsid w:val="00DE0367"/>
    <w:rsid w:val="00DE4E8C"/>
    <w:rsid w:val="00DE6773"/>
    <w:rsid w:val="00DF52BA"/>
    <w:rsid w:val="00DF7B69"/>
    <w:rsid w:val="00E029D7"/>
    <w:rsid w:val="00E37FB3"/>
    <w:rsid w:val="00E500B9"/>
    <w:rsid w:val="00E52617"/>
    <w:rsid w:val="00E54984"/>
    <w:rsid w:val="00E66D75"/>
    <w:rsid w:val="00E72786"/>
    <w:rsid w:val="00E73458"/>
    <w:rsid w:val="00E74E96"/>
    <w:rsid w:val="00E75A2A"/>
    <w:rsid w:val="00E8352F"/>
    <w:rsid w:val="00E9241D"/>
    <w:rsid w:val="00EA0125"/>
    <w:rsid w:val="00EA47FF"/>
    <w:rsid w:val="00EC4D94"/>
    <w:rsid w:val="00ED1871"/>
    <w:rsid w:val="00ED7EA5"/>
    <w:rsid w:val="00F06CFF"/>
    <w:rsid w:val="00F118E6"/>
    <w:rsid w:val="00F12088"/>
    <w:rsid w:val="00F12106"/>
    <w:rsid w:val="00F205E7"/>
    <w:rsid w:val="00F20CB6"/>
    <w:rsid w:val="00F21084"/>
    <w:rsid w:val="00F24791"/>
    <w:rsid w:val="00F251EB"/>
    <w:rsid w:val="00F35492"/>
    <w:rsid w:val="00F43CF0"/>
    <w:rsid w:val="00F44A82"/>
    <w:rsid w:val="00F47FB4"/>
    <w:rsid w:val="00F5193B"/>
    <w:rsid w:val="00F5300B"/>
    <w:rsid w:val="00F732AA"/>
    <w:rsid w:val="00F81E04"/>
    <w:rsid w:val="00F82786"/>
    <w:rsid w:val="00F91E3E"/>
    <w:rsid w:val="00F953E3"/>
    <w:rsid w:val="00F97072"/>
    <w:rsid w:val="00FA0D1A"/>
    <w:rsid w:val="00FC0BDF"/>
    <w:rsid w:val="00FC5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07272"/>
  <w15:docId w15:val="{1CB3AD46-ADF5-48EE-82FF-F94EC846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link w:val="Heading1Char"/>
    <w:uiPriority w:val="9"/>
    <w:qFormat/>
    <w:pPr>
      <w:spacing w:before="92"/>
      <w:ind w:left="260"/>
      <w:outlineLvl w:val="0"/>
    </w:pPr>
    <w:rPr>
      <w:b/>
      <w:bCs/>
      <w:sz w:val="28"/>
      <w:szCs w:val="28"/>
    </w:rPr>
  </w:style>
  <w:style w:type="paragraph" w:styleId="Heading2">
    <w:name w:val="heading 2"/>
    <w:basedOn w:val="Normal"/>
    <w:link w:val="Heading2Char"/>
    <w:uiPriority w:val="9"/>
    <w:qFormat/>
    <w:rsid w:val="00D464BF"/>
    <w:pPr>
      <w:spacing w:before="11"/>
      <w:outlineLvl w:val="1"/>
    </w:pPr>
    <w:rPr>
      <w:b/>
      <w:color w:val="1F497D" w:themeColor="text2"/>
      <w:sz w:val="24"/>
      <w:szCs w:val="28"/>
    </w:rPr>
  </w:style>
  <w:style w:type="paragraph" w:styleId="Heading3">
    <w:name w:val="heading 3"/>
    <w:basedOn w:val="Normal"/>
    <w:uiPriority w:val="1"/>
    <w:qFormat/>
    <w:rsid w:val="00D464BF"/>
    <w:pPr>
      <w:jc w:val="both"/>
      <w:outlineLvl w:val="2"/>
    </w:pPr>
    <w:rPr>
      <w:b/>
      <w:b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61"/>
      <w:ind w:left="260"/>
    </w:pPr>
    <w:rPr>
      <w:sz w:val="28"/>
      <w:szCs w:val="28"/>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978" w:hanging="360"/>
      <w:jc w:val="both"/>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2C2810"/>
    <w:rPr>
      <w:sz w:val="16"/>
      <w:szCs w:val="16"/>
    </w:rPr>
  </w:style>
  <w:style w:type="paragraph" w:styleId="CommentText">
    <w:name w:val="annotation text"/>
    <w:basedOn w:val="Normal"/>
    <w:link w:val="CommentTextChar"/>
    <w:uiPriority w:val="99"/>
    <w:semiHidden/>
    <w:unhideWhenUsed/>
    <w:rsid w:val="00B2681A"/>
    <w:rPr>
      <w:sz w:val="20"/>
      <w:szCs w:val="20"/>
    </w:rPr>
  </w:style>
  <w:style w:type="character" w:customStyle="1" w:styleId="CommentTextChar">
    <w:name w:val="Comment Text Char"/>
    <w:basedOn w:val="DefaultParagraphFont"/>
    <w:link w:val="CommentText"/>
    <w:uiPriority w:val="99"/>
    <w:semiHidden/>
    <w:rsid w:val="002C2810"/>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2C2810"/>
    <w:rPr>
      <w:b/>
      <w:bCs/>
    </w:rPr>
  </w:style>
  <w:style w:type="character" w:customStyle="1" w:styleId="CommentSubjectChar">
    <w:name w:val="Comment Subject Char"/>
    <w:basedOn w:val="CommentTextChar"/>
    <w:link w:val="CommentSubject"/>
    <w:uiPriority w:val="99"/>
    <w:semiHidden/>
    <w:rsid w:val="002C2810"/>
    <w:rPr>
      <w:rFonts w:ascii="Arial" w:eastAsia="Arial" w:hAnsi="Arial" w:cs="Arial"/>
      <w:b/>
      <w:bCs/>
      <w:sz w:val="20"/>
      <w:szCs w:val="20"/>
      <w:lang w:val="en-AU" w:eastAsia="en-AU" w:bidi="en-AU"/>
    </w:rPr>
  </w:style>
  <w:style w:type="paragraph" w:styleId="BalloonText">
    <w:name w:val="Balloon Text"/>
    <w:basedOn w:val="Normal"/>
    <w:link w:val="BalloonTextChar"/>
    <w:uiPriority w:val="99"/>
    <w:semiHidden/>
    <w:unhideWhenUsed/>
    <w:rsid w:val="002C28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810"/>
    <w:rPr>
      <w:rFonts w:ascii="Segoe UI" w:eastAsia="Arial" w:hAnsi="Segoe UI" w:cs="Segoe UI"/>
      <w:sz w:val="18"/>
      <w:szCs w:val="18"/>
      <w:lang w:val="en-AU" w:eastAsia="en-AU" w:bidi="en-AU"/>
    </w:rPr>
  </w:style>
  <w:style w:type="paragraph" w:styleId="Revision">
    <w:name w:val="Revision"/>
    <w:hidden/>
    <w:uiPriority w:val="99"/>
    <w:semiHidden/>
    <w:rsid w:val="00752533"/>
    <w:pPr>
      <w:widowControl/>
      <w:autoSpaceDE/>
      <w:autoSpaceDN/>
    </w:pPr>
    <w:rPr>
      <w:rFonts w:ascii="Arial" w:eastAsia="Arial" w:hAnsi="Arial" w:cs="Arial"/>
      <w:lang w:val="en-AU" w:eastAsia="en-AU" w:bidi="en-AU"/>
    </w:rPr>
  </w:style>
  <w:style w:type="paragraph" w:styleId="Header">
    <w:name w:val="header"/>
    <w:basedOn w:val="Normal"/>
    <w:link w:val="HeaderChar"/>
    <w:uiPriority w:val="99"/>
    <w:unhideWhenUsed/>
    <w:rsid w:val="00752533"/>
    <w:pPr>
      <w:tabs>
        <w:tab w:val="center" w:pos="4513"/>
        <w:tab w:val="right" w:pos="9026"/>
      </w:tabs>
    </w:pPr>
  </w:style>
  <w:style w:type="character" w:customStyle="1" w:styleId="HeaderChar">
    <w:name w:val="Header Char"/>
    <w:basedOn w:val="DefaultParagraphFont"/>
    <w:link w:val="Header"/>
    <w:uiPriority w:val="99"/>
    <w:rsid w:val="00752533"/>
    <w:rPr>
      <w:rFonts w:ascii="Arial" w:eastAsia="Arial" w:hAnsi="Arial" w:cs="Arial"/>
      <w:lang w:val="en-AU" w:eastAsia="en-AU" w:bidi="en-AU"/>
    </w:rPr>
  </w:style>
  <w:style w:type="paragraph" w:styleId="Footer">
    <w:name w:val="footer"/>
    <w:basedOn w:val="Normal"/>
    <w:link w:val="FooterChar"/>
    <w:uiPriority w:val="99"/>
    <w:unhideWhenUsed/>
    <w:rsid w:val="00752533"/>
    <w:pPr>
      <w:tabs>
        <w:tab w:val="center" w:pos="4513"/>
        <w:tab w:val="right" w:pos="9026"/>
      </w:tabs>
    </w:pPr>
  </w:style>
  <w:style w:type="character" w:customStyle="1" w:styleId="FooterChar">
    <w:name w:val="Footer Char"/>
    <w:basedOn w:val="DefaultParagraphFont"/>
    <w:link w:val="Footer"/>
    <w:uiPriority w:val="99"/>
    <w:rsid w:val="00752533"/>
    <w:rPr>
      <w:rFonts w:ascii="Arial" w:eastAsia="Arial" w:hAnsi="Arial" w:cs="Arial"/>
      <w:lang w:val="en-AU" w:eastAsia="en-AU" w:bidi="en-AU"/>
    </w:rPr>
  </w:style>
  <w:style w:type="paragraph" w:styleId="FootnoteText">
    <w:name w:val="footnote text"/>
    <w:basedOn w:val="Normal"/>
    <w:link w:val="FootnoteTextChar"/>
    <w:uiPriority w:val="99"/>
    <w:semiHidden/>
    <w:unhideWhenUsed/>
    <w:rsid w:val="001D7665"/>
    <w:rPr>
      <w:sz w:val="20"/>
      <w:szCs w:val="20"/>
    </w:rPr>
  </w:style>
  <w:style w:type="character" w:customStyle="1" w:styleId="FootnoteTextChar">
    <w:name w:val="Footnote Text Char"/>
    <w:basedOn w:val="DefaultParagraphFont"/>
    <w:link w:val="FootnoteText"/>
    <w:uiPriority w:val="99"/>
    <w:semiHidden/>
    <w:rsid w:val="001D7665"/>
    <w:rPr>
      <w:rFonts w:ascii="Arial" w:eastAsia="Arial" w:hAnsi="Arial" w:cs="Arial"/>
      <w:sz w:val="20"/>
      <w:szCs w:val="20"/>
      <w:lang w:val="en-AU" w:eastAsia="en-AU" w:bidi="en-AU"/>
    </w:rPr>
  </w:style>
  <w:style w:type="character" w:styleId="FootnoteReference">
    <w:name w:val="footnote reference"/>
    <w:basedOn w:val="DefaultParagraphFont"/>
    <w:uiPriority w:val="99"/>
    <w:semiHidden/>
    <w:unhideWhenUsed/>
    <w:rsid w:val="001D7665"/>
    <w:rPr>
      <w:vertAlign w:val="superscript"/>
    </w:rPr>
  </w:style>
  <w:style w:type="character" w:styleId="Hyperlink">
    <w:name w:val="Hyperlink"/>
    <w:uiPriority w:val="99"/>
    <w:unhideWhenUsed/>
    <w:rsid w:val="00440939"/>
    <w:rPr>
      <w:color w:val="000000"/>
      <w:u w:val="single"/>
    </w:rPr>
  </w:style>
  <w:style w:type="character" w:styleId="FollowedHyperlink">
    <w:name w:val="FollowedHyperlink"/>
    <w:basedOn w:val="DefaultParagraphFont"/>
    <w:uiPriority w:val="99"/>
    <w:semiHidden/>
    <w:unhideWhenUsed/>
    <w:rsid w:val="00440939"/>
    <w:rPr>
      <w:color w:val="800080" w:themeColor="followedHyperlink"/>
      <w:u w:val="single"/>
    </w:rPr>
  </w:style>
  <w:style w:type="paragraph" w:styleId="EndnoteText">
    <w:name w:val="endnote text"/>
    <w:basedOn w:val="Normal"/>
    <w:link w:val="EndnoteTextChar"/>
    <w:uiPriority w:val="99"/>
    <w:unhideWhenUsed/>
    <w:rsid w:val="00696EE8"/>
    <w:pPr>
      <w:widowControl/>
      <w:autoSpaceDE/>
      <w:autoSpaceDN/>
    </w:pPr>
    <w:rPr>
      <w:rFonts w:cs="Times New Roman"/>
      <w:sz w:val="20"/>
      <w:szCs w:val="20"/>
      <w:lang w:eastAsia="en-US" w:bidi="ar-SA"/>
    </w:rPr>
  </w:style>
  <w:style w:type="character" w:customStyle="1" w:styleId="EndnoteTextChar">
    <w:name w:val="Endnote Text Char"/>
    <w:basedOn w:val="DefaultParagraphFont"/>
    <w:link w:val="EndnoteText"/>
    <w:uiPriority w:val="99"/>
    <w:rsid w:val="00696EE8"/>
    <w:rPr>
      <w:rFonts w:ascii="Arial" w:eastAsia="Arial" w:hAnsi="Arial" w:cs="Times New Roman"/>
      <w:sz w:val="20"/>
      <w:szCs w:val="20"/>
      <w:lang w:val="en-AU"/>
    </w:rPr>
  </w:style>
  <w:style w:type="paragraph" w:styleId="TOCHeading">
    <w:name w:val="TOC Heading"/>
    <w:basedOn w:val="Heading1"/>
    <w:next w:val="Normal"/>
    <w:uiPriority w:val="39"/>
    <w:unhideWhenUsed/>
    <w:qFormat/>
    <w:rsid w:val="00006D7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3">
    <w:name w:val="toc 3"/>
    <w:basedOn w:val="Normal"/>
    <w:next w:val="Normal"/>
    <w:autoRedefine/>
    <w:uiPriority w:val="39"/>
    <w:unhideWhenUsed/>
    <w:rsid w:val="00006D75"/>
    <w:pPr>
      <w:tabs>
        <w:tab w:val="right" w:leader="dot" w:pos="9500"/>
      </w:tabs>
      <w:spacing w:after="100"/>
      <w:ind w:left="440"/>
    </w:pPr>
  </w:style>
  <w:style w:type="paragraph" w:styleId="TOC2">
    <w:name w:val="toc 2"/>
    <w:basedOn w:val="Normal"/>
    <w:next w:val="Normal"/>
    <w:autoRedefine/>
    <w:uiPriority w:val="39"/>
    <w:unhideWhenUsed/>
    <w:rsid w:val="00006D75"/>
    <w:pPr>
      <w:widowControl/>
      <w:autoSpaceDE/>
      <w:autoSpaceDN/>
      <w:spacing w:after="100" w:line="259" w:lineRule="auto"/>
      <w:ind w:left="220"/>
    </w:pPr>
    <w:rPr>
      <w:rFonts w:asciiTheme="minorHAnsi" w:eastAsiaTheme="minorEastAsia" w:hAnsiTheme="minorHAnsi" w:cs="Times New Roman"/>
      <w:lang w:val="en-US" w:eastAsia="en-US" w:bidi="ar-SA"/>
    </w:rPr>
  </w:style>
  <w:style w:type="paragraph" w:styleId="NormalWeb">
    <w:name w:val="Normal (Web)"/>
    <w:basedOn w:val="Normal"/>
    <w:uiPriority w:val="99"/>
    <w:unhideWhenUsed/>
    <w:rsid w:val="005D48DC"/>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character" w:styleId="Emphasis">
    <w:name w:val="Emphasis"/>
    <w:uiPriority w:val="20"/>
    <w:qFormat/>
    <w:rsid w:val="00D41241"/>
    <w:rPr>
      <w:i/>
      <w:iCs/>
    </w:rPr>
  </w:style>
  <w:style w:type="character" w:customStyle="1" w:styleId="Heading1Char">
    <w:name w:val="Heading 1 Char"/>
    <w:basedOn w:val="DefaultParagraphFont"/>
    <w:link w:val="Heading1"/>
    <w:uiPriority w:val="9"/>
    <w:rsid w:val="00D41241"/>
    <w:rPr>
      <w:rFonts w:ascii="Arial" w:eastAsia="Arial" w:hAnsi="Arial" w:cs="Arial"/>
      <w:b/>
      <w:bCs/>
      <w:sz w:val="28"/>
      <w:szCs w:val="28"/>
      <w:lang w:val="en-AU" w:eastAsia="en-AU" w:bidi="en-AU"/>
    </w:rPr>
  </w:style>
  <w:style w:type="character" w:customStyle="1" w:styleId="Heading2Char">
    <w:name w:val="Heading 2 Char"/>
    <w:basedOn w:val="DefaultParagraphFont"/>
    <w:link w:val="Heading2"/>
    <w:uiPriority w:val="9"/>
    <w:rsid w:val="00D464BF"/>
    <w:rPr>
      <w:rFonts w:ascii="Arial" w:eastAsia="Arial" w:hAnsi="Arial" w:cs="Arial"/>
      <w:b/>
      <w:color w:val="1F497D" w:themeColor="text2"/>
      <w:sz w:val="24"/>
      <w:szCs w:val="28"/>
      <w:lang w:val="en-AU" w:eastAsia="en-AU" w:bidi="en-AU"/>
    </w:rPr>
  </w:style>
  <w:style w:type="table" w:styleId="TableGrid">
    <w:name w:val="Table Grid"/>
    <w:basedOn w:val="TableNormal"/>
    <w:uiPriority w:val="39"/>
    <w:rsid w:val="00D41241"/>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D41241"/>
    <w:rPr>
      <w:rFonts w:ascii="Arial" w:hAnsi="Arial" w:cs="Arial" w:hint="default"/>
      <w:b w:val="0"/>
      <w:bCs w:val="0"/>
      <w:i w:val="0"/>
      <w:iCs w:val="0"/>
      <w:color w:val="000000"/>
      <w:sz w:val="22"/>
      <w:szCs w:val="22"/>
    </w:rPr>
  </w:style>
  <w:style w:type="paragraph" w:styleId="Bibliography">
    <w:name w:val="Bibliography"/>
    <w:basedOn w:val="Normal"/>
    <w:next w:val="Normal"/>
    <w:uiPriority w:val="37"/>
    <w:unhideWhenUsed/>
    <w:rsid w:val="00D41241"/>
    <w:pPr>
      <w:widowControl/>
      <w:autoSpaceDE/>
      <w:autoSpaceDN/>
      <w:spacing w:after="120" w:line="240" w:lineRule="atLeast"/>
    </w:pPr>
    <w:rPr>
      <w:rFonts w:cs="Times New Roman"/>
      <w:sz w:val="20"/>
      <w:szCs w:val="20"/>
      <w:lang w:eastAsia="en-US" w:bidi="ar-SA"/>
    </w:rPr>
  </w:style>
  <w:style w:type="paragraph" w:customStyle="1" w:styleId="Text">
    <w:name w:val="Text"/>
    <w:aliases w:val="t"/>
    <w:basedOn w:val="Normal"/>
    <w:rsid w:val="00D41241"/>
    <w:pPr>
      <w:widowControl/>
      <w:autoSpaceDE/>
      <w:autoSpaceDN/>
      <w:spacing w:after="200"/>
      <w:ind w:left="567" w:hanging="567"/>
    </w:pPr>
    <w:rPr>
      <w:rFonts w:ascii="Arial Narrow" w:eastAsia="Times" w:hAnsi="Arial Narrow" w:cs="Times New Roman"/>
      <w:sz w:val="20"/>
      <w:szCs w:val="20"/>
      <w:lang w:eastAsia="en-US" w:bidi="ar-SA"/>
    </w:rPr>
  </w:style>
  <w:style w:type="character" w:styleId="EndnoteReference">
    <w:name w:val="endnote reference"/>
    <w:basedOn w:val="DefaultParagraphFont"/>
    <w:uiPriority w:val="99"/>
    <w:semiHidden/>
    <w:unhideWhenUsed/>
    <w:rsid w:val="00D41241"/>
    <w:rPr>
      <w:vertAlign w:val="superscript"/>
    </w:rPr>
  </w:style>
  <w:style w:type="paragraph" w:customStyle="1" w:styleId="DETBodyText">
    <w:name w:val="DET_Body Text"/>
    <w:basedOn w:val="Normal"/>
    <w:link w:val="DETBodyTextChar"/>
    <w:qFormat/>
    <w:rsid w:val="00D41241"/>
    <w:pPr>
      <w:widowControl/>
      <w:autoSpaceDE/>
      <w:autoSpaceDN/>
      <w:spacing w:after="120"/>
    </w:pPr>
    <w:rPr>
      <w:rFonts w:eastAsiaTheme="minorEastAsia"/>
      <w:sz w:val="20"/>
      <w:szCs w:val="18"/>
      <w:lang w:val="en-US" w:eastAsia="en-US" w:bidi="ar-SA"/>
    </w:rPr>
  </w:style>
  <w:style w:type="character" w:customStyle="1" w:styleId="DETBodyTextChar">
    <w:name w:val="DET_Body Text Char"/>
    <w:basedOn w:val="DefaultParagraphFont"/>
    <w:link w:val="DETBodyText"/>
    <w:rsid w:val="00D41241"/>
    <w:rPr>
      <w:rFonts w:ascii="Arial" w:eastAsiaTheme="minorEastAsia" w:hAnsi="Arial" w:cs="Arial"/>
      <w:sz w:val="20"/>
      <w:szCs w:val="18"/>
    </w:rPr>
  </w:style>
  <w:style w:type="character" w:customStyle="1" w:styleId="BodyTextChar">
    <w:name w:val="Body Text Char"/>
    <w:basedOn w:val="DefaultParagraphFont"/>
    <w:link w:val="BodyText"/>
    <w:uiPriority w:val="1"/>
    <w:rsid w:val="00285F17"/>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07010">
      <w:bodyDiv w:val="1"/>
      <w:marLeft w:val="0"/>
      <w:marRight w:val="0"/>
      <w:marTop w:val="0"/>
      <w:marBottom w:val="0"/>
      <w:divBdr>
        <w:top w:val="none" w:sz="0" w:space="0" w:color="auto"/>
        <w:left w:val="none" w:sz="0" w:space="0" w:color="auto"/>
        <w:bottom w:val="none" w:sz="0" w:space="0" w:color="auto"/>
        <w:right w:val="none" w:sz="0" w:space="0" w:color="auto"/>
      </w:divBdr>
    </w:div>
    <w:div w:id="447815907">
      <w:bodyDiv w:val="1"/>
      <w:marLeft w:val="0"/>
      <w:marRight w:val="0"/>
      <w:marTop w:val="0"/>
      <w:marBottom w:val="0"/>
      <w:divBdr>
        <w:top w:val="none" w:sz="0" w:space="0" w:color="auto"/>
        <w:left w:val="none" w:sz="0" w:space="0" w:color="auto"/>
        <w:bottom w:val="none" w:sz="0" w:space="0" w:color="auto"/>
        <w:right w:val="none" w:sz="0" w:space="0" w:color="auto"/>
      </w:divBdr>
    </w:div>
    <w:div w:id="1167398569">
      <w:bodyDiv w:val="1"/>
      <w:marLeft w:val="0"/>
      <w:marRight w:val="0"/>
      <w:marTop w:val="0"/>
      <w:marBottom w:val="0"/>
      <w:divBdr>
        <w:top w:val="none" w:sz="0" w:space="0" w:color="auto"/>
        <w:left w:val="none" w:sz="0" w:space="0" w:color="auto"/>
        <w:bottom w:val="none" w:sz="0" w:space="0" w:color="auto"/>
        <w:right w:val="none" w:sz="0" w:space="0" w:color="auto"/>
      </w:divBdr>
      <w:divsChild>
        <w:div w:id="992638248">
          <w:marLeft w:val="360"/>
          <w:marRight w:val="0"/>
          <w:marTop w:val="200"/>
          <w:marBottom w:val="0"/>
          <w:divBdr>
            <w:top w:val="none" w:sz="0" w:space="0" w:color="auto"/>
            <w:left w:val="none" w:sz="0" w:space="0" w:color="auto"/>
            <w:bottom w:val="none" w:sz="0" w:space="0" w:color="auto"/>
            <w:right w:val="none" w:sz="0" w:space="0" w:color="auto"/>
          </w:divBdr>
        </w:div>
        <w:div w:id="1885293922">
          <w:marLeft w:val="360"/>
          <w:marRight w:val="0"/>
          <w:marTop w:val="200"/>
          <w:marBottom w:val="0"/>
          <w:divBdr>
            <w:top w:val="none" w:sz="0" w:space="0" w:color="auto"/>
            <w:left w:val="none" w:sz="0" w:space="0" w:color="auto"/>
            <w:bottom w:val="none" w:sz="0" w:space="0" w:color="auto"/>
            <w:right w:val="none" w:sz="0" w:space="0" w:color="auto"/>
          </w:divBdr>
        </w:div>
      </w:divsChild>
    </w:div>
    <w:div w:id="1626153802">
      <w:bodyDiv w:val="1"/>
      <w:marLeft w:val="0"/>
      <w:marRight w:val="0"/>
      <w:marTop w:val="0"/>
      <w:marBottom w:val="0"/>
      <w:divBdr>
        <w:top w:val="none" w:sz="0" w:space="0" w:color="auto"/>
        <w:left w:val="none" w:sz="0" w:space="0" w:color="auto"/>
        <w:bottom w:val="none" w:sz="0" w:space="0" w:color="auto"/>
        <w:right w:val="none" w:sz="0" w:space="0" w:color="auto"/>
      </w:divBdr>
      <w:divsChild>
        <w:div w:id="1961256603">
          <w:marLeft w:val="0"/>
          <w:marRight w:val="0"/>
          <w:marTop w:val="0"/>
          <w:marBottom w:val="0"/>
          <w:divBdr>
            <w:top w:val="none" w:sz="0" w:space="0" w:color="auto"/>
            <w:left w:val="none" w:sz="0" w:space="0" w:color="auto"/>
            <w:bottom w:val="none" w:sz="0" w:space="0" w:color="auto"/>
            <w:right w:val="none" w:sz="0" w:space="0" w:color="auto"/>
          </w:divBdr>
        </w:div>
      </w:divsChild>
    </w:div>
    <w:div w:id="2101221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4.png@01D5B662.B1756A10" TargetMode="External"/><Relationship Id="rId21" Type="http://schemas.openxmlformats.org/officeDocument/2006/relationships/image" Target="media/image4.png"/><Relationship Id="rId42" Type="http://schemas.openxmlformats.org/officeDocument/2006/relationships/hyperlink" Target="https://www.education.tas.gov.au/parents-carers/school-colleges/aboriginal-education-services/" TargetMode="External"/><Relationship Id="rId47" Type="http://schemas.openxmlformats.org/officeDocument/2006/relationships/hyperlink" Target="https://greatstart.tas.gov.au/" TargetMode="External"/><Relationship Id="rId63" Type="http://schemas.openxmlformats.org/officeDocument/2006/relationships/hyperlink" Target="https://www.cmtedd.act.gov.au/open_government/inform/act_government_media_releases/yvette-berry-mla-media-releases/2019/setting-the-foundations-for-every-childs-success" TargetMode="External"/><Relationship Id="rId68" Type="http://schemas.openxmlformats.org/officeDocument/2006/relationships/hyperlink" Target="https://www.aedc.gov.au/Websilk/Handlers/ResourceDocument.ashx?id=45cf2664-db9a-6d2b-9fad-ff0000a141dd" TargetMode="External"/><Relationship Id="rId84" Type="http://schemas.openxmlformats.org/officeDocument/2006/relationships/hyperlink" Target="https://dera.ioe.ac.uk/8543/7/SSU-SF-2004-01.pdf" TargetMode="External"/><Relationship Id="rId89" Type="http://schemas.openxmlformats.org/officeDocument/2006/relationships/hyperlink" Target="https://www.education.vic.gov.au/parents/child-care-kindergarten/Pages/kindergarten-programs.aspx" TargetMode="External"/><Relationship Id="rId16" Type="http://schemas.openxmlformats.org/officeDocument/2006/relationships/header" Target="header2.xml"/><Relationship Id="rId11" Type="http://schemas.openxmlformats.org/officeDocument/2006/relationships/image" Target="media/image1.png"/><Relationship Id="rId32" Type="http://schemas.openxmlformats.org/officeDocument/2006/relationships/hyperlink" Target="https://publicdocumentcentre.education.tas.gov.au/Documents/Launching-into-Learning-Longitudinal-Study-2007-2014-Report-2013.pdf" TargetMode="External"/><Relationship Id="rId37" Type="http://schemas.openxmlformats.org/officeDocument/2006/relationships/hyperlink" Target="https://www.education.tas.gov.au/about-us/projects/working-together/" TargetMode="External"/><Relationship Id="rId53" Type="http://schemas.openxmlformats.org/officeDocument/2006/relationships/hyperlink" Target="https://www.pmc.gov.au/sites/default/files/publications/annual_reports/2016-17-HTML/content/remote-school-attendance-strategy.html" TargetMode="External"/><Relationship Id="rId58" Type="http://schemas.openxmlformats.org/officeDocument/2006/relationships/hyperlink" Target="https://www.abs.gov.au/AUSSTATS/abs@.nsf/Lookup/4240.0Explanatory%20Notes12018?OpenDocument" TargetMode="External"/><Relationship Id="rId74" Type="http://schemas.openxmlformats.org/officeDocument/2006/relationships/hyperlink" Target="https://www.education.wa.edu.au/dl/ejzg3o" TargetMode="External"/><Relationship Id="rId79" Type="http://schemas.openxmlformats.org/officeDocument/2006/relationships/hyperlink" Target="https://earlychildhood.qld.gov.au/" TargetMode="External"/><Relationship Id="rId5" Type="http://schemas.openxmlformats.org/officeDocument/2006/relationships/numbering" Target="numbering.xml"/><Relationship Id="rId90" Type="http://schemas.openxmlformats.org/officeDocument/2006/relationships/hyperlink" Target="https://education.nsw.gov.au/early-childhood-education/operating-an-early-childhood-education-service/grants-and-funded-programs/ngroo-walking-together-program" TargetMode="External"/><Relationship Id="rId95" Type="http://schemas.openxmlformats.org/officeDocument/2006/relationships/theme" Target="theme/theme1.xml"/><Relationship Id="rId22" Type="http://schemas.openxmlformats.org/officeDocument/2006/relationships/image" Target="cid:image002.png@01D5B5A8.0564C140" TargetMode="External"/><Relationship Id="rId27" Type="http://schemas.openxmlformats.org/officeDocument/2006/relationships/hyperlink" Target="https://earlychildhood.qld.gov.au/funding-and-support/grants-tenders-and-funding/optimising-outcomes-for-children" TargetMode="External"/><Relationship Id="rId43" Type="http://schemas.openxmlformats.org/officeDocument/2006/relationships/hyperlink" Target="https://b4.education.tas.gov.au/" TargetMode="External"/><Relationship Id="rId48" Type="http://schemas.openxmlformats.org/officeDocument/2006/relationships/hyperlink" Target="https://www.telethonkids.org.au/projects/tassiekids/" TargetMode="External"/><Relationship Id="rId64" Type="http://schemas.openxmlformats.org/officeDocument/2006/relationships/hyperlink" Target="https://www.education.tas.gov.au/parents-carers/early-years/launching-learning-lil/" TargetMode="External"/><Relationship Id="rId69" Type="http://schemas.openxmlformats.org/officeDocument/2006/relationships/hyperlink" Target="https://www.libraries.tas.gov.au/courses-events/Pages/kids.aspx" TargetMode="External"/><Relationship Id="rId8" Type="http://schemas.openxmlformats.org/officeDocument/2006/relationships/webSettings" Target="webSettings.xml"/><Relationship Id="rId51" Type="http://schemas.openxmlformats.org/officeDocument/2006/relationships/hyperlink" Target="https://www.education.vic.gov.au/about/news/Pages/stories/2017/stories_whykooriekidsshineatkinder.aspx" TargetMode="External"/><Relationship Id="rId72" Type="http://schemas.openxmlformats.org/officeDocument/2006/relationships/hyperlink" Target="https://publicdocumentcentre.education.tas.gov.au/Documents/WT3-Pilot-Evaluation-Report-Clear-Horizon.pdf" TargetMode="External"/><Relationship Id="rId80" Type="http://schemas.openxmlformats.org/officeDocument/2006/relationships/hyperlink" Target="https://www.education.tas.gov.au/2019/10/learning-in-families-together-lift-re-launch/" TargetMode="External"/><Relationship Id="rId85" Type="http://schemas.openxmlformats.org/officeDocument/2006/relationships/hyperlink" Target="https://www.aedc.gov.au/resources" TargetMode="External"/><Relationship Id="rId93" Type="http://schemas.openxmlformats.org/officeDocument/2006/relationships/hyperlink" Target="https://aifs.gov.au/publications/access-early-childhood-education-australia/executive-summary" TargetMode="External"/><Relationship Id="rId3" Type="http://schemas.openxmlformats.org/officeDocument/2006/relationships/customXml" Target="../customXml/item3.xml"/><Relationship Id="rId12" Type="http://schemas.openxmlformats.org/officeDocument/2006/relationships/hyperlink" Target="mailto:wendy.field@thesmithfamily.com.au" TargetMode="Externa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hyperlink" Target="https://www.deadlykindies.com.au/" TargetMode="External"/><Relationship Id="rId38" Type="http://schemas.openxmlformats.org/officeDocument/2006/relationships/hyperlink" Target="https://education.nsw.gov.au/about-us/strategies-and-reports/our-reports-and-reviews/funding-for-early-childhood-education-review/resources/early-childhood-funding.pdf" TargetMode="External"/><Relationship Id="rId46" Type="http://schemas.openxmlformats.org/officeDocument/2006/relationships/hyperlink" Target="https://b4.education.tas.gov.au/" TargetMode="External"/><Relationship Id="rId59" Type="http://schemas.openxmlformats.org/officeDocument/2006/relationships/hyperlink" Target="https://www.education.tas.gov.au/parents-carers/early-years/early-childhood-intervention-service/?OpenDocument" TargetMode="External"/><Relationship Id="rId67" Type="http://schemas.openxmlformats.org/officeDocument/2006/relationships/hyperlink" Target="https://www.cmtedd.act.gov.au/open_government/inform/act_government_media_releases/rachel-stephen-smith-mla-media-releases/2017/celebrating-a-great-prep-for-pre-year-for-canberra-kids" TargetMode="External"/><Relationship Id="rId20" Type="http://schemas.openxmlformats.org/officeDocument/2006/relationships/image" Target="cid:image001.png@01D5B5A6.23EE3530" TargetMode="External"/><Relationship Id="rId41" Type="http://schemas.openxmlformats.org/officeDocument/2006/relationships/hyperlink" Target="https://www.education.vic.gov.au/parents/child-care-kindergarten/Pages/kindergarten-programs.aspx" TargetMode="External"/><Relationship Id="rId54" Type="http://schemas.openxmlformats.org/officeDocument/2006/relationships/header" Target="header3.xml"/><Relationship Id="rId62" Type="http://schemas.openxmlformats.org/officeDocument/2006/relationships/hyperlink" Target="https://www.education.wa.edu.au/kindilink%20viewed%2028%20October%202019" TargetMode="External"/><Relationship Id="rId70" Type="http://schemas.openxmlformats.org/officeDocument/2006/relationships/hyperlink" Target="https://www.cmtedd.act.gov.au/open_government/inform/act_government_media_releases/yvette-berry-mla-media-releases/2019/setting-the-foundations-for-every-childs-success" TargetMode="External"/><Relationship Id="rId75" Type="http://schemas.openxmlformats.org/officeDocument/2006/relationships/hyperlink" Target="https://www.education.wa.edu.au/documents/43634948/0/1.+KindiLink_Volume+1_Overview+and+Findings_Final" TargetMode="External"/><Relationship Id="rId83" Type="http://schemas.openxmlformats.org/officeDocument/2006/relationships/hyperlink" Target="https://greatstart.tas.gov.au/" TargetMode="External"/><Relationship Id="rId88" Type="http://schemas.openxmlformats.org/officeDocument/2006/relationships/hyperlink" Target="https://www.abs.gov.au/AUSSTATS/abs@.nsf/DetailsPage/4240.02017" TargetMode="External"/><Relationship Id="rId91" Type="http://schemas.openxmlformats.org/officeDocument/2006/relationships/hyperlink" Target="https://docs.education.gov.au/system/files/doc/other/belonging_being_and_becoming_the_early_years_learning_framework_for_australia_0.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yperlink" Target="https://education.nsw.gov.au/early-childhood-education/operating-an-early-childhood-education-service/grants-and-funded-programs/ngroo-walking-together-program" TargetMode="External"/><Relationship Id="rId36" Type="http://schemas.openxmlformats.org/officeDocument/2006/relationships/hyperlink" Target="https://www.education.tas.gov.au/parents-carers/early-years/kindergarten/" TargetMode="External"/><Relationship Id="rId49" Type="http://schemas.openxmlformats.org/officeDocument/2006/relationships/hyperlink" Target="https://www.education.tas.gov.au/parents-carers/early-years/child-family-centres/" TargetMode="Externa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s://greatstart.tas.gov.au/" TargetMode="External"/><Relationship Id="rId44" Type="http://schemas.openxmlformats.org/officeDocument/2006/relationships/hyperlink" Target="https://www.sa.gov.au/topics/education-and-learning/early-childhood-education-and-care/preschool-and-kindergarten" TargetMode="External"/><Relationship Id="rId52" Type="http://schemas.openxmlformats.org/officeDocument/2006/relationships/hyperlink" Target="https://playgroupaustralia.org.au/resource/impact-of-playgroup-on-child-development/" TargetMode="External"/><Relationship Id="rId60" Type="http://schemas.openxmlformats.org/officeDocument/2006/relationships/hyperlink" Target="https://www.education.vic.gov.au/about/news/Pages/stories/2017/stories_whykooriekidsshineatkinder.aspx" TargetMode="External"/><Relationship Id="rId65" Type="http://schemas.openxmlformats.org/officeDocument/2006/relationships/hyperlink" Target="https://www.education.act.gov.au/__data/assets/pdf_file/0010/1098676/Evaluation-Report-Early-Childhood-Schools-and-Koori-Pre-Program.pdf" TargetMode="External"/><Relationship Id="rId73" Type="http://schemas.openxmlformats.org/officeDocument/2006/relationships/hyperlink" Target="https://education.nt.gov.au/support-for-teachers/transitioning-package" TargetMode="External"/><Relationship Id="rId78" Type="http://schemas.openxmlformats.org/officeDocument/2006/relationships/hyperlink" Target="https://www.telethonkids.org.au/globalassets/media/documents/brain--behaviour/tas-cfc-evaluation-report-web.pdf" TargetMode="External"/><Relationship Id="rId81" Type="http://schemas.openxmlformats.org/officeDocument/2006/relationships/hyperlink" Target="http://www.aedc.gov.au/resources/detail/about-the-aedc-domains" TargetMode="External"/><Relationship Id="rId86" Type="http://schemas.openxmlformats.org/officeDocument/2006/relationships/hyperlink" Target="https://www.cmtedd.act.gov.au/open_government/inform/act_government_media_releases/rachel-stephen-smith-mla-media-releases/2017/celebrating-a-great-prep-for-pre-year-for-canberra-kids"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thesmithfamily.com.au" TargetMode="External"/><Relationship Id="rId18" Type="http://schemas.openxmlformats.org/officeDocument/2006/relationships/hyperlink" Target="http://www.oecd.org/els/family/database.htm" TargetMode="External"/><Relationship Id="rId39" Type="http://schemas.openxmlformats.org/officeDocument/2006/relationships/hyperlink" Target="https://greatstart.tas.gov.au/" TargetMode="External"/><Relationship Id="rId34" Type="http://schemas.openxmlformats.org/officeDocument/2006/relationships/hyperlink" Target="https://www.niaa.gov.au/indigenous-affairs/education/remote-school-attendance-strategy" TargetMode="External"/><Relationship Id="rId50" Type="http://schemas.openxmlformats.org/officeDocument/2006/relationships/hyperlink" Target="https://education.nsw.gov.au/about-us/strategies-and-reports/our-reports-and-reviews/funding-for-early-childhood-education-review/resources/early-childhood-funding.pdf" TargetMode="External"/><Relationship Id="rId55" Type="http://schemas.openxmlformats.org/officeDocument/2006/relationships/footer" Target="footer3.xml"/><Relationship Id="rId76" Type="http://schemas.openxmlformats.org/officeDocument/2006/relationships/hyperlink" Target="https://greatstart.tas.gov.au/" TargetMode="External"/><Relationship Id="rId7" Type="http://schemas.openxmlformats.org/officeDocument/2006/relationships/settings" Target="settings.xml"/><Relationship Id="rId71" Type="http://schemas.openxmlformats.org/officeDocument/2006/relationships/hyperlink" Target="https://greatstart.tas.gov.au/" TargetMode="External"/><Relationship Id="rId92" Type="http://schemas.openxmlformats.org/officeDocument/2006/relationships/hyperlink" Target="https://greatstart.tas.gov.au/" TargetMode="External"/><Relationship Id="rId2" Type="http://schemas.openxmlformats.org/officeDocument/2006/relationships/customXml" Target="../customXml/item2.xml"/><Relationship Id="rId29" Type="http://schemas.openxmlformats.org/officeDocument/2006/relationships/hyperlink" Target="https://www.education.act.gov.au/early-childhood/the-acts-early-childhood-education-and-care-sector" TargetMode="External"/><Relationship Id="rId24" Type="http://schemas.openxmlformats.org/officeDocument/2006/relationships/image" Target="media/image6.png"/><Relationship Id="rId40" Type="http://schemas.openxmlformats.org/officeDocument/2006/relationships/hyperlink" Target="https://childandparentcentres.wa.edu.au/" TargetMode="External"/><Relationship Id="rId45" Type="http://schemas.openxmlformats.org/officeDocument/2006/relationships/hyperlink" Target="https://raisingchildren.net.au/preschoolers/play-learning/preschool/preschool-in-your-state%20viewed%2017July%202019" TargetMode="External"/><Relationship Id="rId66" Type="http://schemas.openxmlformats.org/officeDocument/2006/relationships/hyperlink" Target="https://www.education.tas.gov.au/parents-carers/parent-fact-sheets/learning-families-together-lift/" TargetMode="External"/><Relationship Id="rId87" Type="http://schemas.openxmlformats.org/officeDocument/2006/relationships/hyperlink" Target="https://www.education.tas.gov.au/supporting-student-need/educational-adjustments/" TargetMode="External"/><Relationship Id="rId61" Type="http://schemas.openxmlformats.org/officeDocument/2006/relationships/hyperlink" Target="https://aifs.gov.au/publications/access-early-childhood-education-australia/executive-summary" TargetMode="External"/><Relationship Id="rId82" Type="http://schemas.openxmlformats.org/officeDocument/2006/relationships/hyperlink" Target="https://www.thefrontproject.org.au/images/downloads/ECO_ANALYSIS_Full_Report.pdf" TargetMode="External"/><Relationship Id="rId19" Type="http://schemas.openxmlformats.org/officeDocument/2006/relationships/image" Target="media/image3.png"/><Relationship Id="rId14" Type="http://schemas.openxmlformats.org/officeDocument/2006/relationships/header" Target="header1.xml"/><Relationship Id="rId30" Type="http://schemas.openxmlformats.org/officeDocument/2006/relationships/hyperlink" Target="https://www.sa.gov.au/topics/education-and-learning/early-childhood-education-and-care/preschool-and-kindergarten" TargetMode="External"/><Relationship Id="rId35" Type="http://schemas.openxmlformats.org/officeDocument/2006/relationships/hyperlink" Target="https://www.education.wa.edu.au/documents/43634948/0/1.+KindiLink_Volume+1_Overview+and+Findings_Final" TargetMode="External"/><Relationship Id="rId56" Type="http://schemas.openxmlformats.org/officeDocument/2006/relationships/header" Target="header4.xml"/><Relationship Id="rId77" Type="http://schemas.openxmlformats.org/officeDocument/2006/relationships/hyperlink" Target="https://www.education.act.gov.au/early-childhood/the-acts-early-childhood-education-and-care-sec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a291db7-61d3-43f6-927a-c5addb5757b2" xsi:nil="true"/>
    <Comments xmlns="1a291db7-61d3-43f6-927a-c5addb5757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96319EB9C0714A80D396142CAC9397" ma:contentTypeVersion="14" ma:contentTypeDescription="Create a new document." ma:contentTypeScope="" ma:versionID="5bfb80c616e563402976f60cd0a345b6">
  <xsd:schema xmlns:xsd="http://www.w3.org/2001/XMLSchema" xmlns:xs="http://www.w3.org/2001/XMLSchema" xmlns:p="http://schemas.microsoft.com/office/2006/metadata/properties" xmlns:ns2="1a291db7-61d3-43f6-927a-c5addb5757b2" xmlns:ns3="d6b32ec3-2947-4f05-b785-1d69aa579fbe" targetNamespace="http://schemas.microsoft.com/office/2006/metadata/properties" ma:root="true" ma:fieldsID="5f96891cac1a37493ab01691801a6045" ns2:_="" ns3:_="">
    <xsd:import namespace="1a291db7-61d3-43f6-927a-c5addb5757b2"/>
    <xsd:import namespace="d6b32ec3-2947-4f05-b785-1d69aa579f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Comment" minOccurs="0"/>
                <xsd:element ref="ns2:Comme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91db7-61d3-43f6-927a-c5addb575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mment" ma:index="18" nillable="true" ma:displayName="Comment" ma:format="Dropdown" ma:internalName="Comment">
      <xsd:simpleType>
        <xsd:restriction base="dms:Note"/>
      </xsd:simpleType>
    </xsd:element>
    <xsd:element name="Comments" ma:index="19" nillable="true" ma:displayName="Comments" ma:format="Dropdown"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32ec3-2947-4f05-b785-1d69aa579fb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114262F-2D23-4265-9C81-77AFDB8D6D38}">
  <ds:schemaRefs>
    <ds:schemaRef ds:uri="http://schemas.microsoft.com/sharepoint/v3/contenttype/forms"/>
  </ds:schemaRefs>
</ds:datastoreItem>
</file>

<file path=customXml/itemProps2.xml><?xml version="1.0" encoding="utf-8"?>
<ds:datastoreItem xmlns:ds="http://schemas.openxmlformats.org/officeDocument/2006/customXml" ds:itemID="{04460BB6-1D7D-4A52-92AF-D19678DFC329}">
  <ds:schemaRefs>
    <ds:schemaRef ds:uri="http://schemas.microsoft.com/office/2006/metadata/properties"/>
    <ds:schemaRef ds:uri="http://schemas.microsoft.com/office/infopath/2007/PartnerControls"/>
    <ds:schemaRef ds:uri="1a291db7-61d3-43f6-927a-c5addb5757b2"/>
  </ds:schemaRefs>
</ds:datastoreItem>
</file>

<file path=customXml/itemProps3.xml><?xml version="1.0" encoding="utf-8"?>
<ds:datastoreItem xmlns:ds="http://schemas.openxmlformats.org/officeDocument/2006/customXml" ds:itemID="{B06A9121-BB24-4243-9713-1BEEED16A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91db7-61d3-43f6-927a-c5addb5757b2"/>
    <ds:schemaRef ds:uri="d6b32ec3-2947-4f05-b785-1d69aa579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95B4C-6D7C-4B14-8B09-AD281E09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17248</Words>
  <Characters>98318</Characters>
  <Application>Microsoft Office Word</Application>
  <DocSecurity>0</DocSecurity>
  <Lines>819</Lines>
  <Paragraphs>230</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TSF Report Template</vt:lpstr>
      <vt:lpstr>        </vt:lpstr>
      <vt:lpstr>        </vt:lpstr>
      <vt:lpstr>        Acknowledgment of Country </vt:lpstr>
      <vt:lpstr>        </vt:lpstr>
      <vt:lpstr>        Information on this report</vt:lpstr>
      <vt:lpstr>Introduction</vt:lpstr>
      <vt:lpstr>    Report Methodology</vt:lpstr>
      <vt:lpstr>    Report Structure</vt:lpstr>
      <vt:lpstr>Part 1: Preschool Participation Context</vt:lpstr>
      <vt:lpstr>    </vt:lpstr>
      <vt:lpstr>    Children’s development in the first year of school</vt:lpstr>
      <vt:lpstr>        The benefits of preschool</vt:lpstr>
      <vt:lpstr>        </vt:lpstr>
      <vt:lpstr>        Children’s development in the first year of school and preschool attendance</vt:lpstr>
      <vt:lpstr>        Positive preschool experiences</vt:lpstr>
      <vt:lpstr>        Barriers to participation</vt:lpstr>
      <vt:lpstr>        Looking beyond “hard to reach”</vt:lpstr>
      <vt:lpstr>        The views of families in disadvantaged communities</vt:lpstr>
      <vt:lpstr>        Safety</vt:lpstr>
      <vt:lpstr>Part 2: Preschool across Australia</vt:lpstr>
      <vt:lpstr>    </vt:lpstr>
      <vt:lpstr>    Policy Context - Universal Access to Early Childhood Education</vt:lpstr>
      <vt:lpstr>        Attendance at 600 hours per year</vt:lpstr>
      <vt:lpstr>        Service delivery</vt:lpstr>
      <vt:lpstr>        Preschool services</vt:lpstr>
      <vt:lpstr>Part 3: Preschool in the States and Territories</vt:lpstr>
      <vt:lpstr/>
      <vt:lpstr>    Overview</vt:lpstr>
      <vt:lpstr>        Varied policy, practice and funding approaches</vt:lpstr>
      <vt:lpstr>        What is known about how effective these approaches are?</vt:lpstr>
      <vt:lpstr>        Programs and initiatives across States and Territories</vt:lpstr>
      <vt:lpstr>Part 4: Key Findings</vt:lpstr>
      <vt:lpstr>    Challenges to understanding children’s participation and what works</vt:lpstr>
      <vt:lpstr>        Conclusion</vt:lpstr>
      <vt:lpstr>Bibliography</vt:lpstr>
    </vt:vector>
  </TitlesOfParts>
  <Company>Australian Government</Company>
  <LinksUpToDate>false</LinksUpToDate>
  <CharactersWithSpaces>115336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 Report Template</dc:title>
  <dc:creator>Clara Maldonado</dc:creator>
  <cp:lastModifiedBy>Clare Abbott</cp:lastModifiedBy>
  <cp:revision>19</cp:revision>
  <cp:lastPrinted>2020-02-13T22:53:00Z</cp:lastPrinted>
  <dcterms:created xsi:type="dcterms:W3CDTF">2020-02-13T22:50:00Z</dcterms:created>
  <dcterms:modified xsi:type="dcterms:W3CDTF">2021-06-21T01:49:00Z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Microsoft® Word 2016</vt:lpwstr>
  </property>
  <property fmtid="{D5CDD505-2E9C-101B-9397-08002B2CF9AE}" pid="4" name="LastSaved">
    <vt:filetime>2019-11-19T00:00:00Z</vt:filetime>
  </property>
  <property fmtid="{D5CDD505-2E9C-101B-9397-08002B2CF9AE}" pid="5" name="ContentTypeId">
    <vt:lpwstr>0x0101004F96319EB9C0714A80D396142CAC9397</vt:lpwstr>
  </property>
</Properties>
</file>